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8B0F45" w14:paraId="668543D5" w14:textId="77777777" w:rsidTr="008B0F45">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8B0F45" w14:paraId="5B97C616" w14:textId="77777777">
              <w:trPr>
                <w:jc w:val="center"/>
              </w:trPr>
              <w:tc>
                <w:tcPr>
                  <w:tcW w:w="6900" w:type="dxa"/>
                  <w:hideMark/>
                </w:tcPr>
                <w:p w14:paraId="025D97DE" w14:textId="77777777" w:rsidR="008B0F45" w:rsidRDefault="008B0F45">
                  <w:pPr>
                    <w:spacing w:line="300" w:lineRule="atLeast"/>
                    <w:rPr>
                      <w:rFonts w:ascii="Helvetica" w:hAnsi="Helvetica" w:cs="Helvetica"/>
                      <w:b/>
                      <w:bCs/>
                      <w:color w:val="000001"/>
                    </w:rPr>
                  </w:pPr>
                  <w:r>
                    <w:fldChar w:fldCharType="begin"/>
                  </w:r>
                  <w:r>
                    <w:instrText xml:space="preserve"> HYPERLINK "http://mmail.dods.co.uk/wf/click?upn=48ar2OZiXlISbp2fyeYV-2FRkrcbRk1pWXVt-2FWkoKGt2w74-2FqGrn8GuCFkQgeXWm2QpB2OyINCfLwxKPGI-2BE9pB8rX9i67R03OqcP7W5kBzfoTxNs0qk5F8gTKdgaEvbkJ_3YiO3g4OZ88zjwmUl85ryrr41X3s14Hz15ODy2H11NQQqau4Ehj4yeiOlj184jojiuMnNmvGTjenYe40rke5SleECOebssLIKU-2BO1V1fTRcwwArdCQ-2FKIYqERPVaciyKPjTiG91IIbzj7bSbV9qC05AsRuw9eqqfN2YYAW2IM6JbQsgMB0LfHTqLQqiopCUaMKc1HtePxn1Q6XdJOBHTyiXhwYjWGYupLSQMs-2BTwuVc-3D" </w:instrText>
                  </w:r>
                  <w:r>
                    <w:fldChar w:fldCharType="separate"/>
                  </w:r>
                  <w:r>
                    <w:rPr>
                      <w:rStyle w:val="Hyperlink"/>
                      <w:rFonts w:ascii="Helvetica" w:hAnsi="Helvetica" w:cs="Helvetica"/>
                      <w:b/>
                      <w:bCs/>
                      <w:i/>
                      <w:iCs/>
                      <w:color w:val="000001"/>
                      <w:sz w:val="27"/>
                      <w:szCs w:val="27"/>
                      <w:u w:val="none"/>
                    </w:rPr>
                    <w:t xml:space="preserve">Mayor of London’s office: </w:t>
                  </w:r>
                  <w:r>
                    <w:rPr>
                      <w:rStyle w:val="Hyperlink"/>
                      <w:rFonts w:ascii="Helvetica" w:hAnsi="Helvetica" w:cs="Helvetica"/>
                      <w:b/>
                      <w:bCs/>
                      <w:color w:val="000001"/>
                      <w:sz w:val="27"/>
                      <w:szCs w:val="27"/>
                      <w:u w:val="none"/>
                    </w:rPr>
                    <w:t xml:space="preserve">Mayor of London condemns highly predictable and catastrophic third runway plan </w:t>
                  </w:r>
                  <w:r>
                    <w:fldChar w:fldCharType="end"/>
                  </w:r>
                </w:p>
              </w:tc>
            </w:tr>
            <w:tr w:rsidR="008B0F45" w14:paraId="07EC0F08" w14:textId="77777777">
              <w:trPr>
                <w:trHeight w:val="75"/>
                <w:jc w:val="center"/>
              </w:trPr>
              <w:tc>
                <w:tcPr>
                  <w:tcW w:w="6900" w:type="dxa"/>
                  <w:hideMark/>
                </w:tcPr>
                <w:p w14:paraId="68971ACD" w14:textId="77777777" w:rsidR="008B0F45" w:rsidRDefault="008B0F45">
                  <w:pPr>
                    <w:rPr>
                      <w:rFonts w:ascii="Helvetica" w:hAnsi="Helvetica" w:cs="Helvetica"/>
                      <w:b/>
                      <w:bCs/>
                      <w:color w:val="000001"/>
                    </w:rPr>
                  </w:pPr>
                </w:p>
              </w:tc>
            </w:tr>
            <w:tr w:rsidR="008B0F45" w14:paraId="2E58260D" w14:textId="77777777">
              <w:trPr>
                <w:jc w:val="center"/>
              </w:trPr>
              <w:tc>
                <w:tcPr>
                  <w:tcW w:w="6900" w:type="dxa"/>
                  <w:hideMark/>
                </w:tcPr>
                <w:p w14:paraId="0609503F" w14:textId="77777777" w:rsidR="008B0F45" w:rsidRDefault="008B0F45">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UK Stakeholder - Press Releases </w:t>
                  </w:r>
                </w:p>
              </w:tc>
            </w:tr>
          </w:tbl>
          <w:p w14:paraId="06B89E29" w14:textId="77777777" w:rsidR="008B0F45" w:rsidRDefault="008B0F45">
            <w:pPr>
              <w:jc w:val="center"/>
              <w:rPr>
                <w:rFonts w:eastAsia="Times New Roman"/>
                <w:sz w:val="20"/>
                <w:szCs w:val="20"/>
              </w:rPr>
            </w:pPr>
          </w:p>
        </w:tc>
        <w:tc>
          <w:tcPr>
            <w:tcW w:w="300" w:type="dxa"/>
            <w:hideMark/>
          </w:tcPr>
          <w:p w14:paraId="739851C6" w14:textId="77777777" w:rsidR="008B0F45" w:rsidRDefault="008B0F45">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8B0F45" w14:paraId="7387CA38" w14:textId="77777777">
              <w:trPr>
                <w:jc w:val="center"/>
              </w:trPr>
              <w:tc>
                <w:tcPr>
                  <w:tcW w:w="1050" w:type="dxa"/>
                  <w:hideMark/>
                </w:tcPr>
                <w:p w14:paraId="358612B0" w14:textId="77777777" w:rsidR="008B0F45" w:rsidRDefault="008B0F45">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4B4FDEAE" wp14:editId="521EA27C">
                        <wp:extent cx="457200" cy="381000"/>
                        <wp:effectExtent l="0" t="0" r="0" b="0"/>
                        <wp:docPr id="4" name="Picture 4" descr="    UK Stakehold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K Stakeholder&#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8B0F45" w14:paraId="4717C1B8" w14:textId="77777777">
              <w:trPr>
                <w:trHeight w:val="75"/>
                <w:jc w:val="center"/>
              </w:trPr>
              <w:tc>
                <w:tcPr>
                  <w:tcW w:w="1050" w:type="dxa"/>
                  <w:hideMark/>
                </w:tcPr>
                <w:p w14:paraId="3B65AFD8" w14:textId="77777777" w:rsidR="008B0F45" w:rsidRDefault="008B0F45">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C4C50C0" wp14:editId="16C2D08F">
                        <wp:extent cx="9525" cy="47625"/>
                        <wp:effectExtent l="0" t="0" r="0" b="0"/>
                        <wp:docPr id="3" name="Picture 3"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ail.dods.co.uk/political/2014/uk-monitoring/general-template/images/1x1-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8B0F45" w14:paraId="50588EE5" w14:textId="77777777">
              <w:trPr>
                <w:jc w:val="center"/>
              </w:trPr>
              <w:tc>
                <w:tcPr>
                  <w:tcW w:w="1050" w:type="dxa"/>
                  <w:hideMark/>
                </w:tcPr>
                <w:p w14:paraId="756F77EC" w14:textId="77777777" w:rsidR="008B0F45" w:rsidRDefault="008B0F45">
                  <w:pPr>
                    <w:spacing w:line="270" w:lineRule="atLeast"/>
                    <w:rPr>
                      <w:rFonts w:ascii="Helvetica" w:hAnsi="Helvetica" w:cs="Helvetica"/>
                      <w:color w:val="000000"/>
                      <w:sz w:val="18"/>
                      <w:szCs w:val="18"/>
                    </w:rPr>
                  </w:pPr>
                  <w:r>
                    <w:rPr>
                      <w:rFonts w:ascii="Helvetica" w:hAnsi="Helvetica" w:cs="Helvetica"/>
                      <w:color w:val="000000"/>
                      <w:sz w:val="18"/>
                      <w:szCs w:val="18"/>
                    </w:rPr>
                    <w:t xml:space="preserve">01/07/2015 </w:t>
                  </w:r>
                </w:p>
              </w:tc>
            </w:tr>
          </w:tbl>
          <w:p w14:paraId="706ED243" w14:textId="77777777" w:rsidR="008B0F45" w:rsidRDefault="008B0F45">
            <w:pPr>
              <w:jc w:val="center"/>
              <w:rPr>
                <w:rFonts w:eastAsia="Times New Roman"/>
                <w:sz w:val="20"/>
                <w:szCs w:val="20"/>
              </w:rPr>
            </w:pPr>
          </w:p>
        </w:tc>
      </w:tr>
      <w:tr w:rsidR="008B0F45" w14:paraId="7F4D4F64" w14:textId="77777777" w:rsidTr="008B0F45">
        <w:trPr>
          <w:trHeight w:val="150"/>
          <w:jc w:val="center"/>
        </w:trPr>
        <w:tc>
          <w:tcPr>
            <w:tcW w:w="8250" w:type="dxa"/>
            <w:gridSpan w:val="3"/>
            <w:hideMark/>
          </w:tcPr>
          <w:p w14:paraId="21882703" w14:textId="77777777" w:rsidR="008B0F45" w:rsidRDefault="008B0F45">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4AC7CCB3" wp14:editId="6E04C531">
                  <wp:extent cx="9525" cy="95250"/>
                  <wp:effectExtent l="0" t="0" r="0" b="0"/>
                  <wp:docPr id="2" name="Picture 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dods.co.uk/political/2014/uk-monitoring/general-template/images/1x1-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8B0F45" w14:paraId="19548427" w14:textId="77777777" w:rsidTr="008B0F45">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8B0F45" w14:paraId="67B6A2FA" w14:textId="77777777">
              <w:trPr>
                <w:jc w:val="center"/>
              </w:trPr>
              <w:tc>
                <w:tcPr>
                  <w:tcW w:w="8250" w:type="dxa"/>
                  <w:hideMark/>
                </w:tcPr>
                <w:p w14:paraId="53EB9D19"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Mayor of London has described the Airports Commission decision to recommend that a third runway be built at Heathrow as highly predictable, short-</w:t>
                  </w:r>
                  <w:proofErr w:type="spellStart"/>
                  <w:r>
                    <w:rPr>
                      <w:rFonts w:ascii="Helvetica" w:hAnsi="Helvetica" w:cs="Helvetica"/>
                      <w:color w:val="000001"/>
                      <w:sz w:val="21"/>
                      <w:szCs w:val="21"/>
                    </w:rPr>
                    <w:t>termist</w:t>
                  </w:r>
                  <w:proofErr w:type="spellEnd"/>
                  <w:r>
                    <w:rPr>
                      <w:rFonts w:ascii="Helvetica" w:hAnsi="Helvetica" w:cs="Helvetica"/>
                      <w:color w:val="000001"/>
                      <w:sz w:val="21"/>
                      <w:szCs w:val="21"/>
                    </w:rPr>
                    <w:t xml:space="preserve"> and completely politically undeliverable. He was astounded by their recommendation that there be a legislative ban on a fourth runway, a ban that the Mayor believes absurd as no Parliament can bind its successors and can be considered even more ludicrous given that the report published by the Commission today says a further runway will be required by 2050. It only makes even clearer the inevitability of proposals for a fourth runway at Heathrow, which would offer even greater </w:t>
                  </w:r>
                  <w:r>
                    <w:rPr>
                      <w:rFonts w:ascii="Helvetica" w:hAnsi="Helvetica" w:cs="Helvetica"/>
                      <w:color w:val="000001"/>
                      <w:sz w:val="21"/>
                      <w:szCs w:val="21"/>
                      <w:shd w:val="clear" w:color="auto" w:fill="9DD1F5"/>
                    </w:rPr>
                    <w:t>noise pollution</w:t>
                  </w:r>
                  <w:r>
                    <w:rPr>
                      <w:rFonts w:ascii="Helvetica" w:hAnsi="Helvetica" w:cs="Helvetica"/>
                      <w:color w:val="000001"/>
                      <w:sz w:val="21"/>
                      <w:szCs w:val="21"/>
                    </w:rPr>
                    <w:t xml:space="preserve"> and fumes over west London.</w:t>
                  </w:r>
                </w:p>
                <w:p w14:paraId="10F6A5F8"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Mayor also described pledges to cut aircraft noise made in the report published by the Commission this morning as hokum. In their report the Airports Commission proposed a ban on night flights that does not cover the entire night period. They propose a ‘noise envelope’ with no information on how that would be measured and they propose an independent noise authority that would be a statutory </w:t>
                  </w:r>
                  <w:proofErr w:type="spellStart"/>
                  <w:r>
                    <w:rPr>
                      <w:rFonts w:ascii="Helvetica" w:hAnsi="Helvetica" w:cs="Helvetica"/>
                      <w:color w:val="000001"/>
                      <w:sz w:val="21"/>
                      <w:szCs w:val="21"/>
                    </w:rPr>
                    <w:t>consultee</w:t>
                  </w:r>
                  <w:proofErr w:type="spellEnd"/>
                  <w:r>
                    <w:rPr>
                      <w:rFonts w:ascii="Helvetica" w:hAnsi="Helvetica" w:cs="Helvetica"/>
                      <w:color w:val="000001"/>
                      <w:sz w:val="21"/>
                      <w:szCs w:val="21"/>
                    </w:rPr>
                    <w:t xml:space="preserve">, not a regulator, effectively rendering it toothless. The Commission’s report also makes grand promises of noise compensation – but that in reality would provide insulation for less than 200,000 homes – a fraction of those exposed to </w:t>
                  </w:r>
                  <w:r>
                    <w:rPr>
                      <w:rFonts w:ascii="Helvetica" w:hAnsi="Helvetica" w:cs="Helvetica"/>
                      <w:color w:val="000001"/>
                      <w:sz w:val="21"/>
                      <w:szCs w:val="21"/>
                      <w:shd w:val="clear" w:color="auto" w:fill="9DD1F5"/>
                    </w:rPr>
                    <w:t>noise pollution</w:t>
                  </w:r>
                  <w:r>
                    <w:rPr>
                      <w:rFonts w:ascii="Helvetica" w:hAnsi="Helvetica" w:cs="Helvetica"/>
                      <w:color w:val="000001"/>
                      <w:sz w:val="21"/>
                      <w:szCs w:val="21"/>
                    </w:rPr>
                    <w:t xml:space="preserve"> by a third runway at Heathrow.</w:t>
                  </w:r>
                </w:p>
                <w:p w14:paraId="6149E56C"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Mayor’s team also criticised the Commission for making a recommendation that would expose over a million people to aircraft noise, with dire consequences for their health.  Studies have shown that the risk of stroke, coronary heart disease and other cardiovascular disease increases by 10 to 20 per cent in areas plagued by aircraft noise. Aircraft noise is also linked to significantly reduced reading comprehension and memory recall in school children.</w:t>
                  </w:r>
                </w:p>
                <w:p w14:paraId="6AF34144"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Beyond noise, a third runway’s impact on air quality is also a serious environmental and public health concern. The Airports Commission’s own analysis shows that a third runway would make Heathrow the worst air quality black spot in London by 2030. That would not be compatible with the UK’s obligation to meet EU air quality targets and would fly in the face of a recent ruling by the Supreme Court that ordered the Government to make plans to tackle air pollution.</w:t>
                  </w:r>
                </w:p>
                <w:p w14:paraId="111BB029"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Quite incredibly, despite acknowledging the importance of aviation links to the UK economy and that Heathrow already operates at 99 per cent of its capacity, the Airports Commission recommendation that a third runway be built would only provide enough capacity to deal with the increase expected over the next 15 years and completely fail to address the future demand for aviation capacity.</w:t>
                  </w:r>
                </w:p>
                <w:p w14:paraId="6E41E271"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In 2013 the Commission’s own analysis found that a three-runway Heathrow would be 80 to 90 per cent full shortly after opening and therefore without the resilience required to operate the airport reliably and effectively. A three runway Heathrow would essentially suffer from the same problems of the two-runway Heathrow today, an airport which struggles with any sort of weather disruption, where many new routes to emerging economies cannot be started and valuable links around the UK are squeezed out.</w:t>
                  </w:r>
                </w:p>
                <w:p w14:paraId="7099092D"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The Mayor of London, Boris Johnson, said: “This highly predictable report offers a short-</w:t>
                  </w:r>
                  <w:proofErr w:type="spellStart"/>
                  <w:r>
                    <w:rPr>
                      <w:rFonts w:ascii="Helvetica" w:hAnsi="Helvetica" w:cs="Helvetica"/>
                      <w:color w:val="000001"/>
                      <w:sz w:val="21"/>
                      <w:szCs w:val="21"/>
                    </w:rPr>
                    <w:t>termist</w:t>
                  </w:r>
                  <w:proofErr w:type="spellEnd"/>
                  <w:r>
                    <w:rPr>
                      <w:rFonts w:ascii="Helvetica" w:hAnsi="Helvetica" w:cs="Helvetica"/>
                      <w:color w:val="000001"/>
                      <w:sz w:val="21"/>
                      <w:szCs w:val="21"/>
                    </w:rPr>
                    <w:t xml:space="preserve"> recommendation that would be judicially reviewed from here to Kingdom come and is completely politically undeliverable. Heathrow already contributes more to </w:t>
                  </w:r>
                  <w:r>
                    <w:rPr>
                      <w:rFonts w:ascii="Helvetica" w:hAnsi="Helvetica" w:cs="Helvetica"/>
                      <w:color w:val="000001"/>
                      <w:sz w:val="21"/>
                      <w:szCs w:val="21"/>
                      <w:shd w:val="clear" w:color="auto" w:fill="9DD1F5"/>
                    </w:rPr>
                    <w:t>noise pollution</w:t>
                  </w:r>
                  <w:r>
                    <w:rPr>
                      <w:rFonts w:ascii="Helvetica" w:hAnsi="Helvetica" w:cs="Helvetica"/>
                      <w:color w:val="000001"/>
                      <w:sz w:val="21"/>
                      <w:szCs w:val="21"/>
                    </w:rPr>
                    <w:t xml:space="preserve"> than any other airport in Europe and the Airports Commission’s pledge that noise can be reduced there is quite frankly hokum.</w:t>
                  </w:r>
                </w:p>
                <w:p w14:paraId="3A01F491"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question the Government will now inevitably return to is whether we should go for an ambitious and visionary long term approach by building a new airport to the east of London, rather than a short term and environmentally catastrophic expansion of Heathrow. There are much better solutions and that is where we will end up.” </w:t>
                  </w:r>
                </w:p>
                <w:p w14:paraId="781023D5"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By recommending expansion at Heathrow the Airports Commission have only prioritised the short term and private interests of the large corporations controlling Heathrow and they have entirely missed the opportunity to plan for the wider development and planning challenges faced by a city where the population is forecast to increase by 37 per cent to more than 11 million people by 2050.</w:t>
                  </w:r>
                </w:p>
                <w:p w14:paraId="1E3B9552"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Mayor’s team have also highlighted a wholly inadequate approach by the Airports Commission in their consideration of the costs and provision of new surface access to Heathrow. The expansion proposals at Heathrow rely heavily on new schemes – notably </w:t>
                  </w:r>
                  <w:proofErr w:type="spellStart"/>
                  <w:r>
                    <w:rPr>
                      <w:rFonts w:ascii="Helvetica" w:hAnsi="Helvetica" w:cs="Helvetica"/>
                      <w:color w:val="000001"/>
                      <w:sz w:val="21"/>
                      <w:szCs w:val="21"/>
                    </w:rPr>
                    <w:t>Crossrail</w:t>
                  </w:r>
                  <w:proofErr w:type="spellEnd"/>
                  <w:r>
                    <w:rPr>
                      <w:rFonts w:ascii="Helvetica" w:hAnsi="Helvetica" w:cs="Helvetica"/>
                      <w:color w:val="000001"/>
                      <w:sz w:val="21"/>
                      <w:szCs w:val="21"/>
                    </w:rPr>
                    <w:t xml:space="preserve"> and the Piccadilly Line Upgrade – which been designed to meet the existing level of passenger demand, not for an expansion at Heathrow.</w:t>
                  </w:r>
                </w:p>
                <w:p w14:paraId="6EDC36D7"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Commission has also taken an approach that favours parts of the road network that are already or soon to be at capacity – on the basis that someone else will solve the capacity problem. The result is that these proposals would place severe strain on already congested road and rail corridors; and increasing gridlock on the M25 will only exacerbate air quality problems. It is also clear that the Commission have severely underestimated the cost of the extra surface access improvements that are required, potentially by as much as £15bn.</w:t>
                  </w:r>
                </w:p>
                <w:p w14:paraId="1130BDF6"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Mayor of London’s chief advisor on aviation, Daniel Moylan, said: “The noise impacts of an expanded Heathrow are truly monstrous - and no amount of finessing </w:t>
                  </w:r>
                  <w:proofErr w:type="spellStart"/>
                  <w:r>
                    <w:rPr>
                      <w:rFonts w:ascii="Helvetica" w:hAnsi="Helvetica" w:cs="Helvetica"/>
                      <w:color w:val="000001"/>
                      <w:sz w:val="21"/>
                      <w:szCs w:val="21"/>
                    </w:rPr>
                    <w:t>flightpaths</w:t>
                  </w:r>
                  <w:proofErr w:type="spellEnd"/>
                  <w:r>
                    <w:rPr>
                      <w:rFonts w:ascii="Helvetica" w:hAnsi="Helvetica" w:cs="Helvetica"/>
                      <w:color w:val="000001"/>
                      <w:sz w:val="21"/>
                      <w:szCs w:val="21"/>
                    </w:rPr>
                    <w:t xml:space="preserve"> by Heathrow Airport Limited can hide that – or the increased incidence of stroke and heart disease that will follow. Faced with a report that runs roughshod over the serious environmental concerns it has identified, the only environmentally responsible course of action is to file this report where it belongs – in the recycling bin.”</w:t>
                  </w:r>
                </w:p>
                <w:p w14:paraId="15F4308E" w14:textId="77777777" w:rsidR="008B0F45" w:rsidRDefault="008B0F45">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Notes</w:t>
                  </w:r>
                </w:p>
                <w:p w14:paraId="53F7752D" w14:textId="77777777" w:rsidR="008B0F45" w:rsidRDefault="008B0F45">
                  <w:pPr>
                    <w:numPr>
                      <w:ilvl w:val="0"/>
                      <w:numId w:val="1"/>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Heathrow is the worst airport for noise in Europe, accounting for 28 per cent of all those exposed to airport noise in Europe (at 55db </w:t>
                  </w:r>
                  <w:proofErr w:type="spellStart"/>
                  <w:r>
                    <w:rPr>
                      <w:rFonts w:ascii="Helvetica" w:eastAsia="Times New Roman" w:hAnsi="Helvetica" w:cs="Helvetica"/>
                      <w:color w:val="000000"/>
                      <w:sz w:val="20"/>
                      <w:szCs w:val="20"/>
                    </w:rPr>
                    <w:t>Lden</w:t>
                  </w:r>
                  <w:proofErr w:type="spellEnd"/>
                  <w:r>
                    <w:rPr>
                      <w:rFonts w:ascii="Helvetica" w:eastAsia="Times New Roman" w:hAnsi="Helvetica" w:cs="Helvetica"/>
                      <w:color w:val="000000"/>
                      <w:sz w:val="20"/>
                      <w:szCs w:val="20"/>
                    </w:rPr>
                    <w:t>) – more than its five main rivals combined</w:t>
                  </w:r>
                </w:p>
                <w:p w14:paraId="57572506" w14:textId="77777777" w:rsidR="008B0F45" w:rsidRDefault="008B0F45">
                  <w:pPr>
                    <w:numPr>
                      <w:ilvl w:val="0"/>
                      <w:numId w:val="2"/>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A three runway Heathrow would expose over 1million people to noise by 2050 (CAA analysis for </w:t>
                  </w:r>
                  <w:proofErr w:type="spellStart"/>
                  <w:r>
                    <w:rPr>
                      <w:rFonts w:ascii="Helvetica" w:eastAsia="Times New Roman" w:hAnsi="Helvetica" w:cs="Helvetica"/>
                      <w:color w:val="000000"/>
                      <w:sz w:val="20"/>
                      <w:szCs w:val="20"/>
                    </w:rPr>
                    <w:t>TfL</w:t>
                  </w:r>
                  <w:proofErr w:type="spellEnd"/>
                  <w:r>
                    <w:rPr>
                      <w:rFonts w:ascii="Helvetica" w:eastAsia="Times New Roman" w:hAnsi="Helvetica" w:cs="Helvetica"/>
                      <w:color w:val="000000"/>
                      <w:sz w:val="20"/>
                      <w:szCs w:val="20"/>
                    </w:rPr>
                    <w:t>)</w:t>
                  </w:r>
                </w:p>
                <w:p w14:paraId="453443AD" w14:textId="77777777" w:rsidR="008B0F45" w:rsidRDefault="008B0F45">
                  <w:pPr>
                    <w:numPr>
                      <w:ilvl w:val="0"/>
                      <w:numId w:val="3"/>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Studies have shown that the risk of stroke, coronary heart disease and other cardiovascular disease increases by 10-20 per cent in areas plagued by aircraft noise.</w:t>
                  </w:r>
                </w:p>
                <w:p w14:paraId="01151E4A" w14:textId="77777777" w:rsidR="008B0F45" w:rsidRDefault="008B0F45">
                  <w:pPr>
                    <w:numPr>
                      <w:ilvl w:val="0"/>
                      <w:numId w:val="4"/>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lastRenderedPageBreak/>
                    <w:t>Studies in West London have linked aircraft noise to significantly reduced reading comprehension and memory recall in school children.</w:t>
                  </w:r>
                </w:p>
                <w:p w14:paraId="2237B994" w14:textId="77777777" w:rsidR="008B0F45" w:rsidRDefault="008B0F45">
                  <w:pPr>
                    <w:numPr>
                      <w:ilvl w:val="0"/>
                      <w:numId w:val="5"/>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In 2030, with a third runway, Heathrow will be the worst NO2 </w:t>
                  </w:r>
                  <w:proofErr w:type="spellStart"/>
                  <w:r>
                    <w:rPr>
                      <w:rFonts w:ascii="Helvetica" w:eastAsia="Times New Roman" w:hAnsi="Helvetica" w:cs="Helvetica"/>
                      <w:color w:val="000000"/>
                      <w:sz w:val="20"/>
                      <w:szCs w:val="20"/>
                    </w:rPr>
                    <w:t>blackspot</w:t>
                  </w:r>
                  <w:proofErr w:type="spellEnd"/>
                  <w:r>
                    <w:rPr>
                      <w:rFonts w:ascii="Helvetica" w:eastAsia="Times New Roman" w:hAnsi="Helvetica" w:cs="Helvetica"/>
                      <w:color w:val="000000"/>
                      <w:sz w:val="20"/>
                      <w:szCs w:val="20"/>
                    </w:rPr>
                    <w:t xml:space="preserve"> in Greater London. The scale of the increase, in some cases as much as 12 µg/m3, would require a level of mitigation previously unheard of (without major scheme redesign). The Airports Commission has failed to quantify the benefits of any potential mitigation measures – and so have failed to demonstrate that an expanded Heathrow can meet EU limit values.</w:t>
                  </w:r>
                </w:p>
                <w:p w14:paraId="4ED71B30" w14:textId="77777777" w:rsidR="008B0F45" w:rsidRDefault="008B0F45">
                  <w:pPr>
                    <w:numPr>
                      <w:ilvl w:val="0"/>
                      <w:numId w:val="6"/>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By recommending expansion at Heathrow the Airports Commission have only prioritised the short term and private interests of the large corporations controlling Heathrow. Heathrow Airport is owned by </w:t>
                  </w:r>
                  <w:proofErr w:type="spellStart"/>
                  <w:r>
                    <w:rPr>
                      <w:rFonts w:ascii="Helvetica" w:eastAsia="Times New Roman" w:hAnsi="Helvetica" w:cs="Helvetica"/>
                      <w:color w:val="000000"/>
                      <w:sz w:val="20"/>
                      <w:szCs w:val="20"/>
                    </w:rPr>
                    <w:t>Alinda</w:t>
                  </w:r>
                  <w:proofErr w:type="spellEnd"/>
                  <w:r>
                    <w:rPr>
                      <w:rFonts w:ascii="Helvetica" w:eastAsia="Times New Roman" w:hAnsi="Helvetica" w:cs="Helvetica"/>
                      <w:color w:val="000000"/>
                      <w:sz w:val="20"/>
                      <w:szCs w:val="20"/>
                    </w:rPr>
                    <w:t xml:space="preserve"> Capital Partners (United States), </w:t>
                  </w:r>
                  <w:proofErr w:type="spellStart"/>
                  <w:r>
                    <w:rPr>
                      <w:rFonts w:ascii="Helvetica" w:eastAsia="Times New Roman" w:hAnsi="Helvetica" w:cs="Helvetica"/>
                      <w:color w:val="000000"/>
                      <w:sz w:val="20"/>
                      <w:szCs w:val="20"/>
                    </w:rPr>
                    <w:t>Caisse</w:t>
                  </w:r>
                  <w:proofErr w:type="spellEnd"/>
                  <w:r>
                    <w:rPr>
                      <w:rFonts w:ascii="Helvetica" w:eastAsia="Times New Roman" w:hAnsi="Helvetica" w:cs="Helvetica"/>
                      <w:color w:val="000000"/>
                      <w:sz w:val="20"/>
                      <w:szCs w:val="20"/>
                    </w:rPr>
                    <w:t xml:space="preserve"> de </w:t>
                  </w:r>
                  <w:proofErr w:type="spellStart"/>
                  <w:r>
                    <w:rPr>
                      <w:rFonts w:ascii="Helvetica" w:eastAsia="Times New Roman" w:hAnsi="Helvetica" w:cs="Helvetica"/>
                      <w:color w:val="000000"/>
                      <w:sz w:val="20"/>
                      <w:szCs w:val="20"/>
                    </w:rPr>
                    <w:t>dépôt</w:t>
                  </w:r>
                  <w:proofErr w:type="spellEnd"/>
                  <w:r>
                    <w:rPr>
                      <w:rFonts w:ascii="Helvetica" w:eastAsia="Times New Roman" w:hAnsi="Helvetica" w:cs="Helvetica"/>
                      <w:color w:val="000000"/>
                      <w:sz w:val="20"/>
                      <w:szCs w:val="20"/>
                    </w:rPr>
                    <w:t xml:space="preserve"> et placement du Québec (via Britannia Airport Partners) (Canada), CIC International (via Stable Investment Corporation) (China), </w:t>
                  </w:r>
                  <w:proofErr w:type="spellStart"/>
                  <w:r>
                    <w:rPr>
                      <w:rFonts w:ascii="Helvetica" w:eastAsia="Times New Roman" w:hAnsi="Helvetica" w:cs="Helvetica"/>
                      <w:color w:val="000000"/>
                      <w:sz w:val="20"/>
                      <w:szCs w:val="20"/>
                    </w:rPr>
                    <w:t>Ferrovial</w:t>
                  </w:r>
                  <w:proofErr w:type="spellEnd"/>
                  <w:r>
                    <w:rPr>
                      <w:rFonts w:ascii="Helvetica" w:eastAsia="Times New Roman" w:hAnsi="Helvetica" w:cs="Helvetica"/>
                      <w:color w:val="000000"/>
                      <w:sz w:val="20"/>
                      <w:szCs w:val="20"/>
                    </w:rPr>
                    <w:t xml:space="preserve"> Group (Spain), GIC Special Investments (via Baker Street Investment) (Singapore), Qatar Holdings (Qatar) and the Universities Superannuation Scheme (UK).</w:t>
                  </w:r>
                </w:p>
                <w:p w14:paraId="2D3ADD2A" w14:textId="77777777" w:rsidR="008B0F45" w:rsidRDefault="008B0F45">
                  <w:pPr>
                    <w:numPr>
                      <w:ilvl w:val="0"/>
                      <w:numId w:val="7"/>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Airports Commission analysis shows Heathrow will be full in 2030, shortly after opening a third runway: operating at 80-90 per cent capacity, it would suffer from the lack of resilience in the face of disruption that plagues the airport today.</w:t>
                  </w:r>
                </w:p>
                <w:p w14:paraId="46435273" w14:textId="77777777" w:rsidR="008B0F45" w:rsidRDefault="008B0F45">
                  <w:pPr>
                    <w:numPr>
                      <w:ilvl w:val="0"/>
                      <w:numId w:val="8"/>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Insufficient capacity will mean inability to launch new routes to key markets in emerging economies – and vital connections to UK regions being squeezed out.</w:t>
                  </w:r>
                </w:p>
                <w:p w14:paraId="1FBED67A" w14:textId="77777777" w:rsidR="008B0F45" w:rsidRDefault="008B0F45">
                  <w:pPr>
                    <w:numPr>
                      <w:ilvl w:val="0"/>
                      <w:numId w:val="9"/>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The Airports Commission have identified a significant capacity gap in 2050, but do not address this. Instead they focus on runway options to 2030 rather than a long term plan for the UK.</w:t>
                  </w:r>
                </w:p>
                <w:p w14:paraId="7736D1D8" w14:textId="77777777" w:rsidR="008B0F45" w:rsidRDefault="008B0F45">
                  <w:pPr>
                    <w:numPr>
                      <w:ilvl w:val="0"/>
                      <w:numId w:val="10"/>
                    </w:numPr>
                    <w:spacing w:before="100" w:beforeAutospacing="1" w:after="100" w:afterAutospacing="1" w:line="270" w:lineRule="atLeast"/>
                    <w:rPr>
                      <w:rFonts w:ascii="Helvetica" w:eastAsia="Times New Roman" w:hAnsi="Helvetica" w:cs="Helvetica"/>
                      <w:color w:val="000000"/>
                      <w:sz w:val="20"/>
                      <w:szCs w:val="20"/>
                    </w:rPr>
                  </w:pPr>
                  <w:proofErr w:type="spellStart"/>
                  <w:r>
                    <w:rPr>
                      <w:rFonts w:ascii="Helvetica" w:eastAsia="Times New Roman" w:hAnsi="Helvetica" w:cs="Helvetica"/>
                      <w:color w:val="000000"/>
                      <w:sz w:val="20"/>
                      <w:szCs w:val="20"/>
                    </w:rPr>
                    <w:t>TfL’s</w:t>
                  </w:r>
                  <w:proofErr w:type="spellEnd"/>
                  <w:r>
                    <w:rPr>
                      <w:rFonts w:ascii="Helvetica" w:eastAsia="Times New Roman" w:hAnsi="Helvetica" w:cs="Helvetica"/>
                      <w:color w:val="000000"/>
                      <w:sz w:val="20"/>
                      <w:szCs w:val="20"/>
                    </w:rPr>
                    <w:t xml:space="preserve"> noise modelling shows that the only result of a new runway at Heathrow will be a substantial increase in the number of people exposed to noise, and that this is the inescapable result of flying more aircraft over a city that recently reached a new record level of population.</w:t>
                  </w:r>
                </w:p>
                <w:p w14:paraId="0D1D4F45" w14:textId="77777777" w:rsidR="008B0F45" w:rsidRDefault="008B0F45">
                  <w:pPr>
                    <w:numPr>
                      <w:ilvl w:val="0"/>
                      <w:numId w:val="11"/>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The  Airports Commission approach has failed on several fronts and it will now be for the Government to give very serious thought to plans that would provide us with a hub  airport with the capacity to get even larger.</w:t>
                  </w:r>
                </w:p>
                <w:p w14:paraId="3876D106" w14:textId="77777777" w:rsidR="008B0F45" w:rsidRDefault="008B0F45">
                  <w:pPr>
                    <w:numPr>
                      <w:ilvl w:val="0"/>
                      <w:numId w:val="12"/>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Very little effort was made to reach out to the general public by the Airports Commission consultation. Only two discussion sessions were held, one at Heathrow and one at Gatwick, which as ticket-only events effectively limited access for the public. Two short two hour drop in sessions received limited publicity and one gave people barely two days of notice.</w:t>
                  </w:r>
                </w:p>
                <w:p w14:paraId="413DAD8B" w14:textId="77777777" w:rsidR="008B0F45" w:rsidRDefault="008B0F45">
                  <w:pPr>
                    <w:numPr>
                      <w:ilvl w:val="0"/>
                      <w:numId w:val="13"/>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While the Airports Commission flies the UK up a blind alley the rest of the world is already building new runways and terminal buildings that are designed and built using British expertise and which will put them well ahead of the UK in the race for new global business.</w:t>
                  </w:r>
                </w:p>
                <w:p w14:paraId="76378994" w14:textId="77777777" w:rsidR="008B0F45" w:rsidRDefault="008B0F45">
                  <w:pPr>
                    <w:numPr>
                      <w:ilvl w:val="0"/>
                      <w:numId w:val="14"/>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By restricting their consultation to expansion plans at Heathrow and Gatwick they have only prioritised the short term and private interests of the large corporations </w:t>
                  </w:r>
                  <w:r>
                    <w:rPr>
                      <w:rFonts w:ascii="Helvetica" w:eastAsia="Times New Roman" w:hAnsi="Helvetica" w:cs="Helvetica"/>
                      <w:color w:val="000000"/>
                      <w:sz w:val="20"/>
                      <w:szCs w:val="20"/>
                    </w:rPr>
                    <w:lastRenderedPageBreak/>
                    <w:t>controlling our airports; and they have entirely missed the opportunity to plan for the wider development and planning challenges faced by a city where the population is forecast to increase by 37 per cent to more than 11 million people by 2050</w:t>
                  </w:r>
                </w:p>
                <w:p w14:paraId="4BA5FC09" w14:textId="77777777" w:rsidR="008B0F45" w:rsidRDefault="008B0F45">
                  <w:pPr>
                    <w:numPr>
                      <w:ilvl w:val="0"/>
                      <w:numId w:val="15"/>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Figures from Oxford Economics illustrate that in 2050, the air service connectivity available at a new four runway hub airport in the Thames Estuary would underpin £92.1bn of national GDP each year. By comparison, the inferior connectivity on offer at a three runway Heathrow would generate £59.1bn.</w:t>
                  </w:r>
                </w:p>
                <w:p w14:paraId="39C2B61E" w14:textId="77777777" w:rsidR="008B0F45" w:rsidRDefault="008B0F45">
                  <w:pPr>
                    <w:numPr>
                      <w:ilvl w:val="0"/>
                      <w:numId w:val="16"/>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In rejecting the possibility of a new airport, the Commission turned its back on the rapidly growing population of London. That population desperately needs the homes and jobs that an Estuary proposal offers. The regeneration of east London and the Thames Gateway, entirely in line with current Government policy, would transform the south-east and create 336,000 jobs across the UK, whilst contributing £92 billion annually to UK GDP by 2050. A regenerated site at Heathrow could provide homes for up to 190,000 residents and as many as 90,000 jobs.</w:t>
                  </w:r>
                </w:p>
                <w:p w14:paraId="7DD1765C" w14:textId="77777777" w:rsidR="008B0F45" w:rsidRDefault="008B0F45">
                  <w:pPr>
                    <w:numPr>
                      <w:ilvl w:val="0"/>
                      <w:numId w:val="17"/>
                    </w:numPr>
                    <w:spacing w:before="100" w:beforeAutospacing="1" w:after="100" w:afterAutospacing="1" w:line="270" w:lineRule="atLeast"/>
                    <w:rPr>
                      <w:rFonts w:ascii="Helvetica" w:eastAsia="Times New Roman" w:hAnsi="Helvetica" w:cs="Helvetica"/>
                      <w:color w:val="000000"/>
                      <w:sz w:val="20"/>
                      <w:szCs w:val="20"/>
                    </w:rPr>
                  </w:pPr>
                  <w:r>
                    <w:rPr>
                      <w:rFonts w:ascii="Helvetica" w:eastAsia="Times New Roman" w:hAnsi="Helvetica" w:cs="Helvetica"/>
                      <w:color w:val="000000"/>
                      <w:sz w:val="20"/>
                      <w:szCs w:val="20"/>
                    </w:rPr>
                    <w:t>Without a four runway hub airport it is clear that cities around the UK whose airports have already lost their connection with Heathrow, will fail to get it back as a third runway will be full from day one.</w:t>
                  </w:r>
                </w:p>
              </w:tc>
            </w:tr>
          </w:tbl>
          <w:p w14:paraId="64973EE3" w14:textId="77777777" w:rsidR="008B0F45" w:rsidRDefault="008B0F45">
            <w:pPr>
              <w:jc w:val="center"/>
              <w:rPr>
                <w:rFonts w:eastAsia="Times New Roman"/>
                <w:sz w:val="20"/>
                <w:szCs w:val="20"/>
              </w:rPr>
            </w:pPr>
          </w:p>
        </w:tc>
      </w:tr>
      <w:tr w:rsidR="008B0F45" w14:paraId="763CAFA5" w14:textId="77777777" w:rsidTr="008B0F45">
        <w:trPr>
          <w:trHeight w:val="150"/>
          <w:jc w:val="center"/>
        </w:trPr>
        <w:tc>
          <w:tcPr>
            <w:tcW w:w="8250" w:type="dxa"/>
            <w:gridSpan w:val="3"/>
            <w:hideMark/>
          </w:tcPr>
          <w:p w14:paraId="5A5E7F0B" w14:textId="77777777" w:rsidR="008B0F45" w:rsidRDefault="008B0F45">
            <w:pPr>
              <w:spacing w:line="150" w:lineRule="atLeast"/>
              <w:rPr>
                <w:rFonts w:ascii="Helvetica" w:hAnsi="Helvetica" w:cs="Helvetica"/>
                <w:color w:val="000000"/>
                <w:sz w:val="20"/>
                <w:szCs w:val="20"/>
              </w:rPr>
            </w:pPr>
            <w:r>
              <w:rPr>
                <w:rFonts w:ascii="Helvetica" w:hAnsi="Helvetica" w:cs="Helvetica"/>
                <w:noProof/>
                <w:color w:val="000000"/>
                <w:sz w:val="20"/>
                <w:szCs w:val="20"/>
              </w:rPr>
              <w:lastRenderedPageBreak/>
              <w:drawing>
                <wp:inline distT="0" distB="0" distL="0" distR="0" wp14:anchorId="480DE4A8" wp14:editId="5809E49C">
                  <wp:extent cx="9525" cy="95250"/>
                  <wp:effectExtent l="0" t="0" r="0" b="0"/>
                  <wp:docPr id="1" name="Picture 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ail.dods.co.uk/political/2014/uk-monitoring/general-template/images/1x1-space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8B0F45" w14:paraId="0C020E1A" w14:textId="77777777" w:rsidTr="008B0F45">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6311"/>
              <w:gridCol w:w="1939"/>
            </w:tblGrid>
            <w:tr w:rsidR="008B0F45" w14:paraId="0524E7A0" w14:textId="77777777">
              <w:trPr>
                <w:jc w:val="center"/>
              </w:trPr>
              <w:tc>
                <w:tcPr>
                  <w:tcW w:w="4200" w:type="dxa"/>
                  <w:hideMark/>
                </w:tcPr>
                <w:tbl>
                  <w:tblPr>
                    <w:tblpPr w:vertAnchor="text" w:tblpXSpec="right" w:tblpYSpec="center"/>
                    <w:tblW w:w="2175" w:type="dxa"/>
                    <w:tblCellMar>
                      <w:left w:w="0" w:type="dxa"/>
                      <w:right w:w="0" w:type="dxa"/>
                    </w:tblCellMar>
                    <w:tblLook w:val="04A0" w:firstRow="1" w:lastRow="0" w:firstColumn="1" w:lastColumn="0" w:noHBand="0" w:noVBand="1"/>
                  </w:tblPr>
                  <w:tblGrid>
                    <w:gridCol w:w="151"/>
                    <w:gridCol w:w="30"/>
                    <w:gridCol w:w="1844"/>
                    <w:gridCol w:w="150"/>
                  </w:tblGrid>
                  <w:tr w:rsidR="008B0F45" w14:paraId="3E22DE67" w14:textId="77777777">
                    <w:tc>
                      <w:tcPr>
                        <w:tcW w:w="150" w:type="dxa"/>
                        <w:hideMark/>
                      </w:tcPr>
                      <w:p w14:paraId="112B474D" w14:textId="77777777" w:rsidR="008B0F45" w:rsidRDefault="008B0F45">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445B2047" w14:textId="77777777" w:rsidR="008B0F45" w:rsidRDefault="008B0F45">
                        <w:pPr>
                          <w:rPr>
                            <w:rFonts w:ascii="Helvetica" w:hAnsi="Helvetica" w:cs="Helvetica"/>
                            <w:b/>
                            <w:bCs/>
                            <w:color w:val="3296DC"/>
                            <w:sz w:val="27"/>
                            <w:szCs w:val="27"/>
                          </w:rPr>
                        </w:pPr>
                      </w:p>
                    </w:tc>
                    <w:tc>
                      <w:tcPr>
                        <w:tcW w:w="1845" w:type="dxa"/>
                        <w:hideMark/>
                      </w:tcPr>
                      <w:p w14:paraId="76F20C52" w14:textId="77777777" w:rsidR="008B0F45" w:rsidRDefault="008B0F45">
                        <w:pPr>
                          <w:spacing w:line="270" w:lineRule="atLeast"/>
                          <w:rPr>
                            <w:rFonts w:ascii="Helvetica" w:hAnsi="Helvetica" w:cs="Helvetica"/>
                            <w:color w:val="000000"/>
                            <w:sz w:val="21"/>
                            <w:szCs w:val="21"/>
                          </w:rPr>
                        </w:pPr>
                        <w:hyperlink r:id="rId10" w:history="1">
                          <w:r>
                            <w:rPr>
                              <w:rStyle w:val="Hyperlink"/>
                              <w:rFonts w:ascii="Helvetica" w:hAnsi="Helvetica" w:cs="Helvetica"/>
                              <w:b/>
                              <w:bCs/>
                              <w:color w:val="000001"/>
                              <w:sz w:val="20"/>
                              <w:szCs w:val="20"/>
                              <w:u w:val="none"/>
                            </w:rPr>
                            <w:t>View article online</w:t>
                          </w:r>
                        </w:hyperlink>
                        <w:r>
                          <w:rPr>
                            <w:rFonts w:ascii="Helvetica" w:hAnsi="Helvetica" w:cs="Helvetica"/>
                            <w:color w:val="000000"/>
                            <w:sz w:val="21"/>
                            <w:szCs w:val="21"/>
                          </w:rPr>
                          <w:t xml:space="preserve"> </w:t>
                        </w:r>
                      </w:p>
                    </w:tc>
                    <w:tc>
                      <w:tcPr>
                        <w:tcW w:w="150" w:type="dxa"/>
                        <w:hideMark/>
                      </w:tcPr>
                      <w:p w14:paraId="3ECF9F66" w14:textId="77777777" w:rsidR="008B0F45" w:rsidRDefault="008B0F45">
                        <w:pPr>
                          <w:rPr>
                            <w:rFonts w:ascii="Helvetica" w:hAnsi="Helvetica" w:cs="Helvetica"/>
                            <w:color w:val="000000"/>
                            <w:sz w:val="21"/>
                            <w:szCs w:val="21"/>
                          </w:rPr>
                        </w:pPr>
                      </w:p>
                    </w:tc>
                  </w:tr>
                </w:tbl>
                <w:p w14:paraId="5ABAE0CB" w14:textId="77777777" w:rsidR="008B0F45" w:rsidRDefault="008B0F45">
                  <w:pPr>
                    <w:rPr>
                      <w:rFonts w:eastAsia="Times New Roman"/>
                      <w:sz w:val="20"/>
                      <w:szCs w:val="20"/>
                    </w:rPr>
                  </w:pPr>
                </w:p>
              </w:tc>
              <w:tc>
                <w:tcPr>
                  <w:tcW w:w="1275" w:type="dxa"/>
                  <w:hideMark/>
                </w:tcPr>
                <w:tbl>
                  <w:tblPr>
                    <w:tblpPr w:vertAnchor="text" w:tblpXSpec="right" w:tblpYSpec="center"/>
                    <w:tblW w:w="1290" w:type="dxa"/>
                    <w:tblCellMar>
                      <w:left w:w="0" w:type="dxa"/>
                      <w:right w:w="0" w:type="dxa"/>
                    </w:tblCellMar>
                    <w:tblLook w:val="04A0" w:firstRow="1" w:lastRow="0" w:firstColumn="1" w:lastColumn="0" w:noHBand="0" w:noVBand="1"/>
                  </w:tblPr>
                  <w:tblGrid>
                    <w:gridCol w:w="151"/>
                    <w:gridCol w:w="30"/>
                    <w:gridCol w:w="1109"/>
                  </w:tblGrid>
                  <w:tr w:rsidR="008B0F45" w14:paraId="2332D35E" w14:textId="77777777">
                    <w:tc>
                      <w:tcPr>
                        <w:tcW w:w="150" w:type="dxa"/>
                        <w:hideMark/>
                      </w:tcPr>
                      <w:p w14:paraId="4E4EC19C" w14:textId="77777777" w:rsidR="008B0F45" w:rsidRDefault="008B0F45">
                        <w:pPr>
                          <w:spacing w:line="270" w:lineRule="atLeast"/>
                          <w:rPr>
                            <w:rFonts w:ascii="Helvetica" w:hAnsi="Helvetica" w:cs="Helvetica"/>
                            <w:b/>
                            <w:bCs/>
                            <w:color w:val="3296DC"/>
                            <w:sz w:val="27"/>
                            <w:szCs w:val="27"/>
                          </w:rPr>
                        </w:pPr>
                        <w:r>
                          <w:rPr>
                            <w:rFonts w:ascii="Helvetica" w:hAnsi="Helvetica" w:cs="Helvetica"/>
                            <w:b/>
                            <w:bCs/>
                            <w:color w:val="3296DC"/>
                            <w:sz w:val="27"/>
                            <w:szCs w:val="27"/>
                          </w:rPr>
                          <w:t>»</w:t>
                        </w:r>
                      </w:p>
                    </w:tc>
                    <w:tc>
                      <w:tcPr>
                        <w:tcW w:w="30" w:type="dxa"/>
                        <w:hideMark/>
                      </w:tcPr>
                      <w:p w14:paraId="3E664CCC" w14:textId="77777777" w:rsidR="008B0F45" w:rsidRDefault="008B0F45">
                        <w:pPr>
                          <w:rPr>
                            <w:rFonts w:ascii="Helvetica" w:hAnsi="Helvetica" w:cs="Helvetica"/>
                            <w:b/>
                            <w:bCs/>
                            <w:color w:val="3296DC"/>
                            <w:sz w:val="27"/>
                            <w:szCs w:val="27"/>
                          </w:rPr>
                        </w:pPr>
                      </w:p>
                    </w:tc>
                    <w:tc>
                      <w:tcPr>
                        <w:tcW w:w="1110" w:type="dxa"/>
                        <w:hideMark/>
                      </w:tcPr>
                      <w:p w14:paraId="759D00C1" w14:textId="77777777" w:rsidR="008B0F45" w:rsidRDefault="008B0F45">
                        <w:pPr>
                          <w:spacing w:line="270" w:lineRule="atLeast"/>
                          <w:rPr>
                            <w:rFonts w:ascii="Helvetica" w:hAnsi="Helvetica" w:cs="Helvetica"/>
                            <w:color w:val="000000"/>
                            <w:sz w:val="21"/>
                            <w:szCs w:val="21"/>
                          </w:rPr>
                        </w:pPr>
                        <w:hyperlink w:anchor="top" w:history="1">
                          <w:r>
                            <w:rPr>
                              <w:rStyle w:val="Hyperlink"/>
                              <w:rFonts w:ascii="Helvetica" w:hAnsi="Helvetica" w:cs="Helvetica"/>
                              <w:b/>
                              <w:bCs/>
                              <w:color w:val="000001"/>
                              <w:sz w:val="20"/>
                              <w:szCs w:val="20"/>
                              <w:u w:val="none"/>
                            </w:rPr>
                            <w:t>Back to top</w:t>
                          </w:r>
                        </w:hyperlink>
                        <w:r>
                          <w:rPr>
                            <w:rFonts w:ascii="Helvetica" w:hAnsi="Helvetica" w:cs="Helvetica"/>
                            <w:color w:val="000000"/>
                            <w:sz w:val="21"/>
                            <w:szCs w:val="21"/>
                          </w:rPr>
                          <w:t xml:space="preserve"> </w:t>
                        </w:r>
                      </w:p>
                    </w:tc>
                  </w:tr>
                </w:tbl>
                <w:p w14:paraId="6FE37C4F" w14:textId="77777777" w:rsidR="008B0F45" w:rsidRDefault="008B0F45">
                  <w:pPr>
                    <w:rPr>
                      <w:rFonts w:eastAsia="Times New Roman"/>
                      <w:sz w:val="20"/>
                      <w:szCs w:val="20"/>
                    </w:rPr>
                  </w:pPr>
                </w:p>
              </w:tc>
            </w:tr>
          </w:tbl>
          <w:p w14:paraId="73D6A197" w14:textId="77777777" w:rsidR="008B0F45" w:rsidRDefault="008B0F45">
            <w:pPr>
              <w:jc w:val="center"/>
              <w:rPr>
                <w:rFonts w:eastAsia="Times New Roman"/>
                <w:sz w:val="20"/>
                <w:szCs w:val="20"/>
              </w:rPr>
            </w:pPr>
          </w:p>
        </w:tc>
      </w:tr>
    </w:tbl>
    <w:p w14:paraId="45E3B2D1" w14:textId="77777777" w:rsidR="00D0516B" w:rsidRDefault="00D0516B">
      <w:bookmarkStart w:id="0" w:name="_GoBack"/>
      <w:bookmarkEnd w:id="0"/>
    </w:p>
    <w:sectPr w:rsidR="00D05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0429B"/>
    <w:multiLevelType w:val="multilevel"/>
    <w:tmpl w:val="0BB8E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7BB7A30"/>
    <w:multiLevelType w:val="multilevel"/>
    <w:tmpl w:val="9A2E7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E673008"/>
    <w:multiLevelType w:val="multilevel"/>
    <w:tmpl w:val="9918D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EC95570"/>
    <w:multiLevelType w:val="multilevel"/>
    <w:tmpl w:val="DD1C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3351B78"/>
    <w:multiLevelType w:val="multilevel"/>
    <w:tmpl w:val="DD44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3E6071D"/>
    <w:multiLevelType w:val="multilevel"/>
    <w:tmpl w:val="13589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70F430E"/>
    <w:multiLevelType w:val="multilevel"/>
    <w:tmpl w:val="450E9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B22224F"/>
    <w:multiLevelType w:val="multilevel"/>
    <w:tmpl w:val="D8527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FDB3AF4"/>
    <w:multiLevelType w:val="multilevel"/>
    <w:tmpl w:val="D1A2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4F04D4A"/>
    <w:multiLevelType w:val="multilevel"/>
    <w:tmpl w:val="8E745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59CD5EFE"/>
    <w:multiLevelType w:val="multilevel"/>
    <w:tmpl w:val="21FC2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955CBF"/>
    <w:multiLevelType w:val="multilevel"/>
    <w:tmpl w:val="AA54E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0C35D44"/>
    <w:multiLevelType w:val="multilevel"/>
    <w:tmpl w:val="71AC5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2314AA0"/>
    <w:multiLevelType w:val="multilevel"/>
    <w:tmpl w:val="25907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77E24E0"/>
    <w:multiLevelType w:val="multilevel"/>
    <w:tmpl w:val="A9AA7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25876DE"/>
    <w:multiLevelType w:val="multilevel"/>
    <w:tmpl w:val="CA967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C9C4AD7"/>
    <w:multiLevelType w:val="multilevel"/>
    <w:tmpl w:val="CE8A1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5"/>
    <w:lvlOverride w:ilvl="0"/>
    <w:lvlOverride w:ilvl="1"/>
    <w:lvlOverride w:ilvl="2"/>
    <w:lvlOverride w:ilvl="3"/>
    <w:lvlOverride w:ilvl="4"/>
    <w:lvlOverride w:ilvl="5"/>
    <w:lvlOverride w:ilvl="6"/>
    <w:lvlOverride w:ilvl="7"/>
    <w:lvlOverride w:ilvl="8"/>
  </w:num>
  <w:num w:numId="4">
    <w:abstractNumId w:val="14"/>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13"/>
    <w:lvlOverride w:ilvl="0"/>
    <w:lvlOverride w:ilvl="1"/>
    <w:lvlOverride w:ilvl="2"/>
    <w:lvlOverride w:ilvl="3"/>
    <w:lvlOverride w:ilvl="4"/>
    <w:lvlOverride w:ilvl="5"/>
    <w:lvlOverride w:ilvl="6"/>
    <w:lvlOverride w:ilvl="7"/>
    <w:lvlOverride w:ilvl="8"/>
  </w:num>
  <w:num w:numId="7">
    <w:abstractNumId w:val="12"/>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11"/>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16"/>
    <w:lvlOverride w:ilvl="0"/>
    <w:lvlOverride w:ilvl="1"/>
    <w:lvlOverride w:ilvl="2"/>
    <w:lvlOverride w:ilvl="3"/>
    <w:lvlOverride w:ilvl="4"/>
    <w:lvlOverride w:ilvl="5"/>
    <w:lvlOverride w:ilvl="6"/>
    <w:lvlOverride w:ilvl="7"/>
    <w:lvlOverride w:ilvl="8"/>
  </w:num>
  <w:num w:numId="15">
    <w:abstractNumId w:val="1"/>
    <w:lvlOverride w:ilvl="0"/>
    <w:lvlOverride w:ilvl="1"/>
    <w:lvlOverride w:ilvl="2"/>
    <w:lvlOverride w:ilvl="3"/>
    <w:lvlOverride w:ilvl="4"/>
    <w:lvlOverride w:ilvl="5"/>
    <w:lvlOverride w:ilvl="6"/>
    <w:lvlOverride w:ilvl="7"/>
    <w:lvlOverride w:ilvl="8"/>
  </w:num>
  <w:num w:numId="16">
    <w:abstractNumId w:val="3"/>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45"/>
    <w:rsid w:val="008B0F45"/>
    <w:rsid w:val="00D0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982A"/>
  <w15:chartTrackingRefBased/>
  <w15:docId w15:val="{6A9998AA-10A2-4BD3-BB1D-8294226B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F4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F45"/>
    <w:rPr>
      <w:color w:val="0000FF"/>
      <w:u w:val="single"/>
    </w:rPr>
  </w:style>
  <w:style w:type="paragraph" w:styleId="NormalWeb">
    <w:name w:val="Normal (Web)"/>
    <w:basedOn w:val="Normal"/>
    <w:uiPriority w:val="99"/>
    <w:semiHidden/>
    <w:unhideWhenUsed/>
    <w:rsid w:val="008B0F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mmail.dods.co.uk/wf/click?upn=48ar2OZiXlISbp2fyeYV-2FRkrcbRk1pWXVt-2FWkoKGt2w74-2FqGrn8GuCFkQgeXWm2QpB2OyINCfLwxKPGI-2BE9pB8rX9i67R03OqcP7W5kBzfoTxNs0qk5F8gTKdgaEvbkJ_3YiO3g4OZ88zjwmUl85ryrr41X3s14Hz15ODy2H11NQQqau4Ehj4yeiOlj184jojiuMnNmvGTjenYe40rke5StXFpOdrZV7JvFQ-2F7f4zs29xUv0KLOhKasVEED1YJopAk-2Fbd-2Fte4xhqdaClMCaEQmrhiqblRL-2BrUi-2FtnYdfwvTbt4UVJZ8KT5hJMWYTpF9OJTHqLz9hfbsUHkUdWjV64yHMeGGy5wCjd2zVBPUN8t4A-3D" TargetMode="Externa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C5220-0387-4FDD-A69E-F0DB7CD2E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517DC9F-AAAA-4931-BE59-06A1DDB66D00}">
  <ds:schemaRefs>
    <ds:schemaRef ds:uri="http://schemas.microsoft.com/sharepoint/v3/contenttype/forms"/>
  </ds:schemaRefs>
</ds:datastoreItem>
</file>

<file path=customXml/itemProps3.xml><?xml version="1.0" encoding="utf-8"?>
<ds:datastoreItem xmlns:ds="http://schemas.openxmlformats.org/officeDocument/2006/customXml" ds:itemID="{E05C9BA7-DA84-4D67-AA37-7163206A38AB}">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D9C8FC8</Template>
  <TotalTime>1</TotalTime>
  <Pages>4</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2015-07-02T07:27:00Z</dcterms:created>
  <dcterms:modified xsi:type="dcterms:W3CDTF">2015-07-02T07:28:00Z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