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tblCellMar>
          <w:left w:w="0" w:type="dxa"/>
          <w:right w:w="0" w:type="dxa"/>
        </w:tblCellMar>
        <w:tblLook w:val="04A0" w:firstRow="1" w:lastRow="0" w:firstColumn="1" w:lastColumn="0" w:noHBand="0" w:noVBand="1"/>
      </w:tblPr>
      <w:tblGrid>
        <w:gridCol w:w="8250"/>
      </w:tblGrid>
      <w:tr w:rsidR="00765C2A" w14:paraId="416310FD" w14:textId="77777777" w:rsidTr="00765C2A">
        <w:trPr>
          <w:trHeight w:val="15"/>
        </w:trPr>
        <w:tc>
          <w:tcPr>
            <w:tcW w:w="8250" w:type="dxa"/>
            <w:shd w:val="clear" w:color="auto" w:fill="9B9C9D"/>
            <w:vAlign w:val="center"/>
            <w:hideMark/>
          </w:tcPr>
          <w:p w14:paraId="1B23A44E" w14:textId="77777777" w:rsidR="00765C2A" w:rsidRDefault="00765C2A"/>
        </w:tc>
      </w:tr>
      <w:tr w:rsidR="00765C2A" w14:paraId="6E18AA72" w14:textId="77777777" w:rsidTr="00765C2A">
        <w:trPr>
          <w:trHeight w:val="300"/>
        </w:trPr>
        <w:tc>
          <w:tcPr>
            <w:tcW w:w="8250" w:type="dxa"/>
            <w:vAlign w:val="center"/>
            <w:hideMark/>
          </w:tcPr>
          <w:p w14:paraId="108F8CC9" w14:textId="77777777" w:rsidR="00765C2A" w:rsidRDefault="00765C2A">
            <w:pPr>
              <w:rPr>
                <w:rFonts w:eastAsia="Times New Roman"/>
                <w:sz w:val="20"/>
                <w:szCs w:val="20"/>
              </w:rPr>
            </w:pPr>
          </w:p>
        </w:tc>
      </w:tr>
      <w:tr w:rsidR="00765C2A" w14:paraId="43B199A3" w14:textId="77777777" w:rsidTr="00765C2A">
        <w:tc>
          <w:tcPr>
            <w:tcW w:w="8250" w:type="dxa"/>
            <w:vAlign w:val="center"/>
            <w:hideMark/>
          </w:tcPr>
          <w:tbl>
            <w:tblPr>
              <w:tblW w:w="8250" w:type="dxa"/>
              <w:tblCellMar>
                <w:left w:w="0" w:type="dxa"/>
                <w:right w:w="0" w:type="dxa"/>
              </w:tblCellMar>
              <w:tblLook w:val="04A0" w:firstRow="1" w:lastRow="0" w:firstColumn="1" w:lastColumn="0" w:noHBand="0" w:noVBand="1"/>
            </w:tblPr>
            <w:tblGrid>
              <w:gridCol w:w="8250"/>
            </w:tblGrid>
            <w:tr w:rsidR="00765C2A" w14:paraId="7D8B2800" w14:textId="77777777">
              <w:tc>
                <w:tcPr>
                  <w:tcW w:w="8250" w:type="dxa"/>
                  <w:vAlign w:val="center"/>
                  <w:hideMark/>
                </w:tcPr>
                <w:tbl>
                  <w:tblPr>
                    <w:tblW w:w="8250" w:type="dxa"/>
                    <w:tblCellMar>
                      <w:left w:w="0" w:type="dxa"/>
                      <w:right w:w="0" w:type="dxa"/>
                    </w:tblCellMar>
                    <w:tblLook w:val="04A0" w:firstRow="1" w:lastRow="0" w:firstColumn="1" w:lastColumn="0" w:noHBand="0" w:noVBand="1"/>
                  </w:tblPr>
                  <w:tblGrid>
                    <w:gridCol w:w="760"/>
                    <w:gridCol w:w="169"/>
                    <w:gridCol w:w="5925"/>
                    <w:gridCol w:w="1396"/>
                  </w:tblGrid>
                  <w:tr w:rsidR="00765C2A" w14:paraId="6B8FCB72" w14:textId="77777777">
                    <w:tc>
                      <w:tcPr>
                        <w:tcW w:w="720" w:type="dxa"/>
                        <w:hideMark/>
                      </w:tcPr>
                      <w:p w14:paraId="434FD6CB" w14:textId="77777777" w:rsidR="00765C2A" w:rsidRDefault="00765C2A">
                        <w:pPr>
                          <w:spacing w:line="270" w:lineRule="atLeast"/>
                          <w:jc w:val="right"/>
                        </w:pPr>
                        <w:r>
                          <w:rPr>
                            <w:rFonts w:ascii="Helvetica Neue" w:hAnsi="Helvetica Neue"/>
                            <w:noProof/>
                            <w:color w:val="00B5D4"/>
                            <w:sz w:val="21"/>
                            <w:szCs w:val="21"/>
                            <w:bdr w:val="single" w:sz="8" w:space="0" w:color="auto" w:frame="1"/>
                          </w:rPr>
                          <w:drawing>
                            <wp:inline distT="0" distB="0" distL="0" distR="0" wp14:anchorId="6AC37FAE" wp14:editId="69061F68">
                              <wp:extent cx="457200" cy="381000"/>
                              <wp:effectExtent l="0" t="0" r="0" b="0"/>
                              <wp:docPr id="2" name="Picture 2" descr="Image removed by sender.     House of Common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House of Commons&#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c>
                      <w:tcPr>
                        <w:tcW w:w="180" w:type="dxa"/>
                        <w:hideMark/>
                      </w:tcPr>
                      <w:p w14:paraId="68EFFB7E" w14:textId="77777777" w:rsidR="00765C2A" w:rsidRDefault="00765C2A"/>
                    </w:tc>
                    <w:tc>
                      <w:tcPr>
                        <w:tcW w:w="5925" w:type="dxa"/>
                        <w:vAlign w:val="center"/>
                        <w:hideMark/>
                      </w:tcPr>
                      <w:tbl>
                        <w:tblPr>
                          <w:tblW w:w="5925" w:type="dxa"/>
                          <w:tblCellMar>
                            <w:left w:w="0" w:type="dxa"/>
                            <w:right w:w="0" w:type="dxa"/>
                          </w:tblCellMar>
                          <w:tblLook w:val="04A0" w:firstRow="1" w:lastRow="0" w:firstColumn="1" w:lastColumn="0" w:noHBand="0" w:noVBand="1"/>
                        </w:tblPr>
                        <w:tblGrid>
                          <w:gridCol w:w="5925"/>
                        </w:tblGrid>
                        <w:tr w:rsidR="00765C2A" w14:paraId="02226F76" w14:textId="77777777">
                          <w:tc>
                            <w:tcPr>
                              <w:tcW w:w="5925" w:type="dxa"/>
                              <w:vAlign w:val="center"/>
                              <w:hideMark/>
                            </w:tcPr>
                            <w:bookmarkStart w:id="0" w:name="30d3b26f075b4dba8b7bd891e471a205"/>
                            <w:bookmarkEnd w:id="0"/>
                            <w:p w14:paraId="598FF121" w14:textId="77777777" w:rsidR="00765C2A" w:rsidRDefault="00765C2A">
                              <w:pPr>
                                <w:spacing w:line="270" w:lineRule="atLeast"/>
                              </w:pPr>
                              <w:r>
                                <w:fldChar w:fldCharType="begin"/>
                              </w:r>
                              <w:r>
                                <w:instrText xml:space="preserve"> HYPERLINK "http://mmail.dods.co.uk/wf/click?upn=PUcZOS6-2FNT4PrY23eS-2B6NzBfsdvqTeU5dcR-2F818NKWCllkvF6eYk1J3p-2Bio04cP5OR1VMyKQpjKAWUT2RWqJVZpwurIEXD8z7ngbVtI3VrHPk6bzdRHUSC6vsT2oEWG-2B_XU2HhMdYrXJl18MWM9Uanquo-2BzTce-2Btt9eh6OmBAKl8d-2FXwN7TklYyJvABRy3t4Oz3Tr6s1r2GBdXFsv-2BC-2FotbLHxsWvh3NlkO8a036FdFQcW-2BhgmVYYZgL-2Fr54sZ2Vjx-2FGEfQPh6BLj-2BrU-2BqpQYCG7YBw3owk6Q5kW-2FLxeGFsgKKDwFM0DH9iIdcPj0hfRmXcIxj0-2FEi9orO4ppeMv2UYbo2m49qO66a9pR5GuCo14-3D" </w:instrText>
                              </w:r>
                              <w:r>
                                <w:fldChar w:fldCharType="separate"/>
                              </w:r>
                              <w:r>
                                <w:rPr>
                                  <w:rStyle w:val="Hyperlink"/>
                                  <w:rFonts w:ascii="Helvetica Neue" w:hAnsi="Helvetica Neue"/>
                                  <w:b/>
                                  <w:bCs/>
                                  <w:color w:val="00B5D4"/>
                                  <w:sz w:val="27"/>
                                  <w:szCs w:val="27"/>
                                </w:rPr>
                                <w:t xml:space="preserve">Noise Complaints </w:t>
                              </w:r>
                              <w:r>
                                <w:fldChar w:fldCharType="end"/>
                              </w:r>
                            </w:p>
                          </w:tc>
                        </w:tr>
                        <w:tr w:rsidR="00765C2A" w14:paraId="5F9DBA4F" w14:textId="77777777">
                          <w:tc>
                            <w:tcPr>
                              <w:tcW w:w="5925" w:type="dxa"/>
                              <w:vAlign w:val="center"/>
                              <w:hideMark/>
                            </w:tcPr>
                            <w:p w14:paraId="7E1AA7A1" w14:textId="77777777" w:rsidR="00765C2A" w:rsidRDefault="00765C2A">
                              <w:pPr>
                                <w:spacing w:line="360" w:lineRule="atLeast"/>
                              </w:pPr>
                              <w:r>
                                <w:rPr>
                                  <w:rFonts w:ascii="Helvetica Neue" w:hAnsi="Helvetica Neue"/>
                                  <w:i/>
                                  <w:iCs/>
                                  <w:color w:val="000001"/>
                                  <w:sz w:val="21"/>
                                  <w:szCs w:val="21"/>
                                </w:rPr>
                                <w:t xml:space="preserve">House of Commons - Written Answers </w:t>
                              </w:r>
                            </w:p>
                          </w:tc>
                        </w:tr>
                      </w:tbl>
                      <w:p w14:paraId="41014BFB" w14:textId="77777777" w:rsidR="00765C2A" w:rsidRDefault="00765C2A">
                        <w:pPr>
                          <w:rPr>
                            <w:rFonts w:eastAsia="Times New Roman"/>
                            <w:sz w:val="20"/>
                            <w:szCs w:val="20"/>
                          </w:rPr>
                        </w:pPr>
                      </w:p>
                    </w:tc>
                    <w:tc>
                      <w:tcPr>
                        <w:tcW w:w="1425" w:type="dxa"/>
                        <w:hideMark/>
                      </w:tcPr>
                      <w:p w14:paraId="69CCA982" w14:textId="77777777" w:rsidR="00765C2A" w:rsidRDefault="00765C2A">
                        <w:pPr>
                          <w:spacing w:line="270" w:lineRule="atLeast"/>
                          <w:jc w:val="right"/>
                        </w:pPr>
                        <w:hyperlink r:id="rId9" w:history="1">
                          <w:r>
                            <w:rPr>
                              <w:rStyle w:val="Hyperlink"/>
                              <w:rFonts w:ascii="Helvetica Neue" w:hAnsi="Helvetica Neue"/>
                              <w:color w:val="00B5D4"/>
                              <w:sz w:val="21"/>
                              <w:szCs w:val="21"/>
                            </w:rPr>
                            <w:t>10/10/2014</w:t>
                          </w:r>
                        </w:hyperlink>
                        <w:r>
                          <w:rPr>
                            <w:rFonts w:ascii="Helvetica Neue" w:hAnsi="Helvetica Neue"/>
                            <w:color w:val="00B5D4"/>
                            <w:sz w:val="21"/>
                            <w:szCs w:val="21"/>
                          </w:rPr>
                          <w:t xml:space="preserve"> </w:t>
                        </w:r>
                      </w:p>
                    </w:tc>
                  </w:tr>
                </w:tbl>
                <w:p w14:paraId="067CD1D9" w14:textId="77777777" w:rsidR="00765C2A" w:rsidRDefault="00765C2A">
                  <w:pPr>
                    <w:rPr>
                      <w:rFonts w:eastAsia="Times New Roman"/>
                      <w:sz w:val="20"/>
                      <w:szCs w:val="20"/>
                    </w:rPr>
                  </w:pPr>
                </w:p>
              </w:tc>
            </w:tr>
            <w:tr w:rsidR="00765C2A" w14:paraId="05780F1E" w14:textId="77777777">
              <w:trPr>
                <w:trHeight w:val="150"/>
              </w:trPr>
              <w:tc>
                <w:tcPr>
                  <w:tcW w:w="8250" w:type="dxa"/>
                  <w:vAlign w:val="center"/>
                  <w:hideMark/>
                </w:tcPr>
                <w:p w14:paraId="5E8A94B7" w14:textId="77777777" w:rsidR="00765C2A" w:rsidRDefault="00765C2A">
                  <w:pPr>
                    <w:rPr>
                      <w:rFonts w:eastAsia="Times New Roman"/>
                      <w:sz w:val="20"/>
                      <w:szCs w:val="20"/>
                    </w:rPr>
                  </w:pPr>
                </w:p>
              </w:tc>
            </w:tr>
            <w:tr w:rsidR="00765C2A" w14:paraId="1F7BAA43" w14:textId="77777777">
              <w:trPr>
                <w:trHeight w:val="15"/>
              </w:trPr>
              <w:tc>
                <w:tcPr>
                  <w:tcW w:w="8250" w:type="dxa"/>
                  <w:shd w:val="clear" w:color="auto" w:fill="F5F5F5"/>
                  <w:vAlign w:val="center"/>
                  <w:hideMark/>
                </w:tcPr>
                <w:p w14:paraId="69E8B52F" w14:textId="77777777" w:rsidR="00765C2A" w:rsidRDefault="00765C2A">
                  <w:pPr>
                    <w:rPr>
                      <w:rFonts w:eastAsia="Times New Roman"/>
                      <w:sz w:val="20"/>
                      <w:szCs w:val="20"/>
                    </w:rPr>
                  </w:pPr>
                </w:p>
              </w:tc>
            </w:tr>
            <w:tr w:rsidR="00765C2A" w14:paraId="2EF19143" w14:textId="77777777">
              <w:trPr>
                <w:trHeight w:val="150"/>
              </w:trPr>
              <w:tc>
                <w:tcPr>
                  <w:tcW w:w="8250" w:type="dxa"/>
                  <w:vAlign w:val="center"/>
                  <w:hideMark/>
                </w:tcPr>
                <w:p w14:paraId="663F8C2D" w14:textId="77777777" w:rsidR="00765C2A" w:rsidRDefault="00765C2A">
                  <w:pPr>
                    <w:rPr>
                      <w:rFonts w:eastAsia="Times New Roman"/>
                      <w:sz w:val="20"/>
                      <w:szCs w:val="20"/>
                    </w:rPr>
                  </w:pPr>
                </w:p>
              </w:tc>
            </w:tr>
            <w:tr w:rsidR="00765C2A" w14:paraId="054868E9" w14:textId="77777777">
              <w:tc>
                <w:tcPr>
                  <w:tcW w:w="5000" w:type="pct"/>
                  <w:vAlign w:val="center"/>
                  <w:hideMark/>
                </w:tcPr>
                <w:p w14:paraId="045E74EF" w14:textId="77777777" w:rsidR="00765C2A" w:rsidRDefault="00765C2A">
                  <w:pPr>
                    <w:pStyle w:val="Heading2"/>
                    <w:spacing w:line="300" w:lineRule="atLeast"/>
                    <w:rPr>
                      <w:rFonts w:eastAsia="Times New Roman"/>
                    </w:rPr>
                  </w:pPr>
                  <w:r>
                    <w:rPr>
                      <w:rFonts w:ascii="Helvetica Neue" w:eastAsia="Times New Roman" w:hAnsi="Helvetica Neue"/>
                      <w:color w:val="000001"/>
                      <w:sz w:val="24"/>
                      <w:szCs w:val="24"/>
                    </w:rPr>
                    <w:t>Answered on: Wednesday 15 October 2014</w:t>
                  </w:r>
                </w:p>
                <w:p w14:paraId="36B8B424" w14:textId="77777777" w:rsidR="00765C2A" w:rsidRDefault="00765C2A">
                  <w:pPr>
                    <w:pStyle w:val="Heading3"/>
                    <w:spacing w:line="270" w:lineRule="atLeast"/>
                    <w:rPr>
                      <w:rFonts w:eastAsia="Times New Roman"/>
                    </w:rPr>
                  </w:pPr>
                  <w:r>
                    <w:rPr>
                      <w:rFonts w:ascii="Helvetica Neue" w:eastAsia="Times New Roman" w:hAnsi="Helvetica Neue"/>
                      <w:color w:val="000001"/>
                      <w:sz w:val="21"/>
                      <w:szCs w:val="21"/>
                    </w:rPr>
                    <w:t>Culture, Media and Sport</w:t>
                  </w:r>
                </w:p>
                <w:p w14:paraId="66E38F35" w14:textId="77777777" w:rsidR="00765C2A" w:rsidRDefault="00765C2A">
                  <w:pPr>
                    <w:pStyle w:val="Heading2"/>
                    <w:spacing w:line="300" w:lineRule="atLeast"/>
                    <w:rPr>
                      <w:rFonts w:eastAsia="Times New Roman"/>
                    </w:rPr>
                  </w:pPr>
                  <w:r>
                    <w:rPr>
                      <w:rFonts w:ascii="Helvetica Neue" w:eastAsia="Times New Roman" w:hAnsi="Helvetica Neue"/>
                      <w:color w:val="000001"/>
                      <w:sz w:val="24"/>
                      <w:szCs w:val="24"/>
                    </w:rPr>
                    <w:t>Noise Complaints</w:t>
                  </w:r>
                </w:p>
                <w:p w14:paraId="42F9E50E" w14:textId="77777777" w:rsidR="00765C2A" w:rsidRDefault="00765C2A">
                  <w:pPr>
                    <w:pStyle w:val="NormalWeb"/>
                    <w:spacing w:line="270" w:lineRule="atLeast"/>
                  </w:pPr>
                  <w:r>
                    <w:rPr>
                      <w:rStyle w:val="Strong"/>
                      <w:rFonts w:ascii="Helvetica Neue" w:hAnsi="Helvetica Neue"/>
                      <w:color w:val="000001"/>
                      <w:sz w:val="21"/>
                      <w:szCs w:val="21"/>
                    </w:rPr>
                    <w:t>Kerry McCarthy</w:t>
                  </w:r>
                  <w:r>
                    <w:rPr>
                      <w:rFonts w:ascii="Helvetica Neue" w:hAnsi="Helvetica Neue"/>
                      <w:color w:val="000001"/>
                      <w:sz w:val="21"/>
                      <w:szCs w:val="21"/>
                    </w:rPr>
                    <w:t xml:space="preserve"> : What recent assessment his Department has made of changes in the level of threat facing music venues and cultural centres as a result of noise complaints; what the reasons are for this change; and what assessment he has made of the adequacy of the current (a) legislative framework and (b) departmental guidelines on this matter. [209284] </w:t>
                  </w:r>
                </w:p>
                <w:p w14:paraId="07D52D25" w14:textId="77777777" w:rsidR="00765C2A" w:rsidRDefault="00765C2A">
                  <w:pPr>
                    <w:pStyle w:val="NormalWeb"/>
                    <w:spacing w:line="270" w:lineRule="atLeast"/>
                  </w:pPr>
                  <w:r>
                    <w:rPr>
                      <w:rStyle w:val="Strong"/>
                      <w:rFonts w:ascii="Helvetica Neue" w:hAnsi="Helvetica Neue"/>
                      <w:color w:val="000001"/>
                      <w:sz w:val="21"/>
                      <w:szCs w:val="21"/>
                    </w:rPr>
                    <w:t xml:space="preserve">Mr Edward </w:t>
                  </w:r>
                  <w:proofErr w:type="spellStart"/>
                  <w:r>
                    <w:rPr>
                      <w:rStyle w:val="Strong"/>
                      <w:rFonts w:ascii="Helvetica Neue" w:hAnsi="Helvetica Neue"/>
                      <w:color w:val="000001"/>
                      <w:sz w:val="21"/>
                      <w:szCs w:val="21"/>
                    </w:rPr>
                    <w:t>Vaizey</w:t>
                  </w:r>
                  <w:proofErr w:type="spellEnd"/>
                  <w:r>
                    <w:rPr>
                      <w:rFonts w:ascii="Helvetica Neue" w:hAnsi="Helvetica Neue"/>
                      <w:color w:val="000001"/>
                      <w:sz w:val="21"/>
                      <w:szCs w:val="21"/>
                    </w:rPr>
                    <w:t xml:space="preserve"> :The Government has recently reviewed its legislation as part of the Red Tape Challenge and believes that the law, as currently constituted, strikes the appropriate balance between considering the needs of music venues and managing the adverse effects that can come from noise. </w:t>
                  </w:r>
                </w:p>
                <w:p w14:paraId="18319CDD" w14:textId="77777777" w:rsidR="00765C2A" w:rsidRDefault="00765C2A">
                  <w:pPr>
                    <w:pStyle w:val="NormalWeb"/>
                    <w:spacing w:line="270" w:lineRule="atLeast"/>
                  </w:pPr>
                  <w:r>
                    <w:rPr>
                      <w:rFonts w:ascii="Helvetica Neue" w:hAnsi="Helvetica Neue"/>
                      <w:color w:val="000001"/>
                      <w:sz w:val="21"/>
                      <w:szCs w:val="21"/>
                    </w:rPr>
                    <w:t>The Department is in regular contact with the Department for the Environment, Food &amp; Rural Affairs and the Department for Communities and Local Government on how the Licensing Act 2003, the Environmental Protection Act 1990, and the planning system inter-relate with one another for entertainment premises. The overall regulatory regime has to strike a balance between enabling communities to have well-run entertainment events, the needs of music venues as businesses, and managing the adverse effects that can come from noise.</w:t>
                  </w:r>
                </w:p>
                <w:p w14:paraId="425B9B82" w14:textId="77777777" w:rsidR="00765C2A" w:rsidRDefault="00765C2A">
                  <w:pPr>
                    <w:pStyle w:val="NormalWeb"/>
                    <w:spacing w:line="270" w:lineRule="atLeast"/>
                  </w:pPr>
                  <w:r>
                    <w:rPr>
                      <w:rFonts w:ascii="Helvetica Neue" w:hAnsi="Helvetica Neue"/>
                      <w:color w:val="000001"/>
                      <w:sz w:val="21"/>
                      <w:szCs w:val="21"/>
                    </w:rPr>
                    <w:t>The Government does not collect data relating to noise complaints. Results emerging from the National Noise Attitude survey in 2012 show that an estimated 3% of the UK population specifically identified public houses, clubs and other types of entertainment venue as a source of noise that was “moderately, very or extremely” bothering, annoying or disturbing them. These findings are similar to the results of previous noise attitude surveys conducted in 2008 and 2000.</w:t>
                  </w:r>
                </w:p>
                <w:p w14:paraId="4F69A02B" w14:textId="77777777" w:rsidR="00765C2A" w:rsidRDefault="00765C2A">
                  <w:pPr>
                    <w:pStyle w:val="NormalWeb"/>
                    <w:spacing w:line="270" w:lineRule="atLeast"/>
                  </w:pPr>
                  <w:r>
                    <w:rPr>
                      <w:rFonts w:ascii="Helvetica Neue" w:hAnsi="Helvetica Neue"/>
                      <w:color w:val="000001"/>
                      <w:sz w:val="21"/>
                      <w:szCs w:val="21"/>
                    </w:rPr>
                    <w:t>The Government keeps its legislation and guidance on licensing, statutory noise nuisance, and planning under regular review.</w:t>
                  </w:r>
                </w:p>
                <w:p w14:paraId="22327893" w14:textId="77777777" w:rsidR="00765C2A" w:rsidRDefault="00765C2A">
                  <w:pPr>
                    <w:pStyle w:val="NormalWeb"/>
                    <w:spacing w:line="270" w:lineRule="atLeast"/>
                  </w:pPr>
                  <w:r>
                    <w:rPr>
                      <w:rFonts w:ascii="Helvetica Neue" w:hAnsi="Helvetica Neue"/>
                      <w:color w:val="000001"/>
                      <w:sz w:val="21"/>
                      <w:szCs w:val="21"/>
                    </w:rPr>
                    <w:t> </w:t>
                  </w:r>
                </w:p>
              </w:tc>
            </w:tr>
            <w:tr w:rsidR="00765C2A" w14:paraId="408A5864" w14:textId="77777777">
              <w:trPr>
                <w:trHeight w:val="300"/>
              </w:trPr>
              <w:tc>
                <w:tcPr>
                  <w:tcW w:w="8250" w:type="dxa"/>
                  <w:vAlign w:val="center"/>
                  <w:hideMark/>
                </w:tcPr>
                <w:p w14:paraId="45ED6D63" w14:textId="77777777" w:rsidR="00765C2A" w:rsidRDefault="00765C2A"/>
              </w:tc>
            </w:tr>
            <w:tr w:rsidR="00765C2A" w14:paraId="449C0855" w14:textId="77777777">
              <w:tc>
                <w:tcPr>
                  <w:tcW w:w="8250" w:type="dxa"/>
                  <w:vAlign w:val="center"/>
                  <w:hideMark/>
                </w:tcPr>
                <w:tbl>
                  <w:tblPr>
                    <w:tblW w:w="8250" w:type="dxa"/>
                    <w:tblCellMar>
                      <w:left w:w="0" w:type="dxa"/>
                      <w:right w:w="0" w:type="dxa"/>
                    </w:tblCellMar>
                    <w:tblLook w:val="04A0" w:firstRow="1" w:lastRow="0" w:firstColumn="1" w:lastColumn="0" w:noHBand="0" w:noVBand="1"/>
                  </w:tblPr>
                  <w:tblGrid>
                    <w:gridCol w:w="2400"/>
                    <w:gridCol w:w="525"/>
                    <w:gridCol w:w="2400"/>
                    <w:gridCol w:w="525"/>
                    <w:gridCol w:w="2400"/>
                  </w:tblGrid>
                  <w:tr w:rsidR="00765C2A" w14:paraId="0197D1E7" w14:textId="77777777">
                    <w:tc>
                      <w:tcPr>
                        <w:tcW w:w="2400" w:type="dxa"/>
                        <w:vAlign w:val="center"/>
                        <w:hideMark/>
                      </w:tcPr>
                      <w:tbl>
                        <w:tblPr>
                          <w:tblW w:w="2400" w:type="dxa"/>
                          <w:tblCellMar>
                            <w:left w:w="0" w:type="dxa"/>
                            <w:right w:w="0" w:type="dxa"/>
                          </w:tblCellMar>
                          <w:tblLook w:val="04A0" w:firstRow="1" w:lastRow="0" w:firstColumn="1" w:lastColumn="0" w:noHBand="0" w:noVBand="1"/>
                        </w:tblPr>
                        <w:tblGrid>
                          <w:gridCol w:w="150"/>
                          <w:gridCol w:w="2100"/>
                          <w:gridCol w:w="150"/>
                        </w:tblGrid>
                        <w:tr w:rsidR="00765C2A" w14:paraId="36E54583" w14:textId="77777777">
                          <w:tc>
                            <w:tcPr>
                              <w:tcW w:w="150" w:type="dxa"/>
                              <w:shd w:val="clear" w:color="auto" w:fill="00B5D4"/>
                              <w:vAlign w:val="center"/>
                              <w:hideMark/>
                            </w:tcPr>
                            <w:p w14:paraId="166DBD9C" w14:textId="77777777" w:rsidR="00765C2A" w:rsidRDefault="00765C2A">
                              <w:pPr>
                                <w:rPr>
                                  <w:rFonts w:eastAsia="Times New Roman"/>
                                  <w:sz w:val="20"/>
                                  <w:szCs w:val="20"/>
                                </w:rPr>
                              </w:pPr>
                            </w:p>
                          </w:tc>
                          <w:tc>
                            <w:tcPr>
                              <w:tcW w:w="2100" w:type="dxa"/>
                              <w:shd w:val="clear" w:color="auto" w:fill="00B5D4"/>
                              <w:vAlign w:val="center"/>
                              <w:hideMark/>
                            </w:tcPr>
                            <w:tbl>
                              <w:tblPr>
                                <w:tblW w:w="2100" w:type="dxa"/>
                                <w:tblCellMar>
                                  <w:left w:w="0" w:type="dxa"/>
                                  <w:right w:w="0" w:type="dxa"/>
                                </w:tblCellMar>
                                <w:tblLook w:val="04A0" w:firstRow="1" w:lastRow="0" w:firstColumn="1" w:lastColumn="0" w:noHBand="0" w:noVBand="1"/>
                              </w:tblPr>
                              <w:tblGrid>
                                <w:gridCol w:w="2100"/>
                              </w:tblGrid>
                              <w:tr w:rsidR="00765C2A" w14:paraId="798CC1CC" w14:textId="77777777">
                                <w:trPr>
                                  <w:trHeight w:val="90"/>
                                </w:trPr>
                                <w:tc>
                                  <w:tcPr>
                                    <w:tcW w:w="2100" w:type="dxa"/>
                                    <w:vAlign w:val="center"/>
                                    <w:hideMark/>
                                  </w:tcPr>
                                  <w:p w14:paraId="0B0FD5E1" w14:textId="77777777" w:rsidR="00765C2A" w:rsidRDefault="00765C2A">
                                    <w:pPr>
                                      <w:rPr>
                                        <w:rFonts w:eastAsia="Times New Roman"/>
                                        <w:sz w:val="20"/>
                                        <w:szCs w:val="20"/>
                                      </w:rPr>
                                    </w:pPr>
                                  </w:p>
                                </w:tc>
                              </w:tr>
                              <w:tr w:rsidR="00765C2A" w14:paraId="47F30054" w14:textId="77777777">
                                <w:tc>
                                  <w:tcPr>
                                    <w:tcW w:w="2100" w:type="dxa"/>
                                    <w:vAlign w:val="center"/>
                                    <w:hideMark/>
                                  </w:tcPr>
                                  <w:p w14:paraId="27F39DA1" w14:textId="77777777" w:rsidR="00765C2A" w:rsidRDefault="00765C2A">
                                    <w:pPr>
                                      <w:spacing w:line="270" w:lineRule="atLeast"/>
                                      <w:jc w:val="center"/>
                                    </w:pPr>
                                    <w:hyperlink r:id="rId10" w:history="1">
                                      <w:r>
                                        <w:rPr>
                                          <w:rStyle w:val="Hyperlink"/>
                                          <w:rFonts w:ascii="Helvetica Neue" w:hAnsi="Helvetica Neue"/>
                                          <w:color w:val="FFFFFF"/>
                                          <w:sz w:val="20"/>
                                          <w:szCs w:val="20"/>
                                        </w:rPr>
                                        <w:t>View Article Online</w:t>
                                      </w:r>
                                    </w:hyperlink>
                                    <w:r>
                                      <w:rPr>
                                        <w:rFonts w:ascii="Helvetica Neue" w:hAnsi="Helvetica Neue"/>
                                        <w:color w:val="FFFFFF"/>
                                        <w:sz w:val="20"/>
                                        <w:szCs w:val="20"/>
                                      </w:rPr>
                                      <w:t xml:space="preserve"> </w:t>
                                    </w:r>
                                  </w:p>
                                </w:tc>
                              </w:tr>
                              <w:tr w:rsidR="00765C2A" w14:paraId="21C2A234" w14:textId="77777777">
                                <w:trPr>
                                  <w:trHeight w:val="90"/>
                                </w:trPr>
                                <w:tc>
                                  <w:tcPr>
                                    <w:tcW w:w="2100" w:type="dxa"/>
                                    <w:vAlign w:val="center"/>
                                    <w:hideMark/>
                                  </w:tcPr>
                                  <w:p w14:paraId="5060845C" w14:textId="77777777" w:rsidR="00765C2A" w:rsidRDefault="00765C2A"/>
                                </w:tc>
                              </w:tr>
                            </w:tbl>
                            <w:p w14:paraId="42D56421" w14:textId="77777777" w:rsidR="00765C2A" w:rsidRDefault="00765C2A">
                              <w:pPr>
                                <w:rPr>
                                  <w:rFonts w:eastAsia="Times New Roman"/>
                                  <w:sz w:val="20"/>
                                  <w:szCs w:val="20"/>
                                </w:rPr>
                              </w:pPr>
                            </w:p>
                          </w:tc>
                          <w:tc>
                            <w:tcPr>
                              <w:tcW w:w="150" w:type="dxa"/>
                              <w:shd w:val="clear" w:color="auto" w:fill="00B5D4"/>
                              <w:vAlign w:val="center"/>
                              <w:hideMark/>
                            </w:tcPr>
                            <w:p w14:paraId="0F6F2B85" w14:textId="77777777" w:rsidR="00765C2A" w:rsidRDefault="00765C2A">
                              <w:pPr>
                                <w:rPr>
                                  <w:rFonts w:eastAsia="Times New Roman"/>
                                  <w:sz w:val="20"/>
                                  <w:szCs w:val="20"/>
                                </w:rPr>
                              </w:pPr>
                            </w:p>
                          </w:tc>
                        </w:tr>
                      </w:tbl>
                      <w:p w14:paraId="14A89546" w14:textId="77777777" w:rsidR="00765C2A" w:rsidRDefault="00765C2A">
                        <w:pPr>
                          <w:rPr>
                            <w:rFonts w:eastAsia="Times New Roman"/>
                            <w:sz w:val="20"/>
                            <w:szCs w:val="20"/>
                          </w:rPr>
                        </w:pPr>
                      </w:p>
                    </w:tc>
                    <w:tc>
                      <w:tcPr>
                        <w:tcW w:w="525" w:type="dxa"/>
                        <w:vAlign w:val="center"/>
                        <w:hideMark/>
                      </w:tcPr>
                      <w:p w14:paraId="22735A60" w14:textId="77777777" w:rsidR="00765C2A" w:rsidRDefault="00765C2A">
                        <w:pPr>
                          <w:rPr>
                            <w:rFonts w:eastAsia="Times New Roman"/>
                            <w:sz w:val="20"/>
                            <w:szCs w:val="20"/>
                          </w:rPr>
                        </w:pPr>
                      </w:p>
                    </w:tc>
                    <w:tc>
                      <w:tcPr>
                        <w:tcW w:w="2400" w:type="dxa"/>
                        <w:vAlign w:val="center"/>
                        <w:hideMark/>
                      </w:tcPr>
                      <w:tbl>
                        <w:tblPr>
                          <w:tblW w:w="2400" w:type="dxa"/>
                          <w:tblCellMar>
                            <w:left w:w="0" w:type="dxa"/>
                            <w:right w:w="0" w:type="dxa"/>
                          </w:tblCellMar>
                          <w:tblLook w:val="04A0" w:firstRow="1" w:lastRow="0" w:firstColumn="1" w:lastColumn="0" w:noHBand="0" w:noVBand="1"/>
                        </w:tblPr>
                        <w:tblGrid>
                          <w:gridCol w:w="1200"/>
                          <w:gridCol w:w="1200"/>
                        </w:tblGrid>
                        <w:tr w:rsidR="00765C2A" w14:paraId="71527C0B" w14:textId="77777777">
                          <w:tc>
                            <w:tcPr>
                              <w:tcW w:w="150" w:type="dxa"/>
                              <w:shd w:val="clear" w:color="auto" w:fill="00B5D4"/>
                              <w:vAlign w:val="center"/>
                              <w:hideMark/>
                            </w:tcPr>
                            <w:p w14:paraId="3E5ED457" w14:textId="77777777" w:rsidR="00765C2A" w:rsidRDefault="00765C2A">
                              <w:pPr>
                                <w:rPr>
                                  <w:rFonts w:eastAsia="Times New Roman"/>
                                  <w:sz w:val="20"/>
                                  <w:szCs w:val="20"/>
                                </w:rPr>
                              </w:pPr>
                            </w:p>
                          </w:tc>
                          <w:tc>
                            <w:tcPr>
                              <w:tcW w:w="150" w:type="dxa"/>
                              <w:shd w:val="clear" w:color="auto" w:fill="00B5D4"/>
                              <w:vAlign w:val="center"/>
                              <w:hideMark/>
                            </w:tcPr>
                            <w:p w14:paraId="5704E1AD" w14:textId="77777777" w:rsidR="00765C2A" w:rsidRDefault="00765C2A">
                              <w:pPr>
                                <w:rPr>
                                  <w:rFonts w:eastAsia="Times New Roman"/>
                                  <w:sz w:val="20"/>
                                  <w:szCs w:val="20"/>
                                </w:rPr>
                              </w:pPr>
                            </w:p>
                          </w:tc>
                        </w:tr>
                      </w:tbl>
                      <w:p w14:paraId="046D95CE" w14:textId="77777777" w:rsidR="00765C2A" w:rsidRDefault="00765C2A">
                        <w:pPr>
                          <w:rPr>
                            <w:rFonts w:eastAsia="Times New Roman"/>
                            <w:sz w:val="20"/>
                            <w:szCs w:val="20"/>
                          </w:rPr>
                        </w:pPr>
                      </w:p>
                    </w:tc>
                    <w:tc>
                      <w:tcPr>
                        <w:tcW w:w="525" w:type="dxa"/>
                        <w:vAlign w:val="center"/>
                        <w:hideMark/>
                      </w:tcPr>
                      <w:p w14:paraId="7B18B136" w14:textId="77777777" w:rsidR="00765C2A" w:rsidRDefault="00765C2A">
                        <w:pPr>
                          <w:rPr>
                            <w:rFonts w:eastAsia="Times New Roman"/>
                            <w:sz w:val="20"/>
                            <w:szCs w:val="20"/>
                          </w:rPr>
                        </w:pPr>
                      </w:p>
                    </w:tc>
                    <w:tc>
                      <w:tcPr>
                        <w:tcW w:w="2400" w:type="dxa"/>
                        <w:vAlign w:val="center"/>
                        <w:hideMark/>
                      </w:tcPr>
                      <w:p w14:paraId="7D53595A" w14:textId="77777777" w:rsidR="00765C2A" w:rsidRDefault="00765C2A">
                        <w:pPr>
                          <w:spacing w:line="270" w:lineRule="atLeast"/>
                          <w:jc w:val="right"/>
                        </w:pPr>
                        <w:hyperlink w:anchor="top" w:history="1">
                          <w:r>
                            <w:rPr>
                              <w:rStyle w:val="Hyperlink"/>
                              <w:rFonts w:ascii="Helvetica Neue" w:hAnsi="Helvetica Neue"/>
                              <w:color w:val="00B5D4"/>
                              <w:sz w:val="18"/>
                              <w:szCs w:val="18"/>
                            </w:rPr>
                            <w:t>Back to top</w:t>
                          </w:r>
                        </w:hyperlink>
                      </w:p>
                    </w:tc>
                  </w:tr>
                </w:tbl>
                <w:p w14:paraId="385C364D" w14:textId="77777777" w:rsidR="00765C2A" w:rsidRDefault="00765C2A">
                  <w:pPr>
                    <w:rPr>
                      <w:rFonts w:eastAsia="Times New Roman"/>
                      <w:sz w:val="20"/>
                      <w:szCs w:val="20"/>
                    </w:rPr>
                  </w:pPr>
                </w:p>
              </w:tc>
            </w:tr>
            <w:tr w:rsidR="00765C2A" w14:paraId="477E51E3" w14:textId="77777777">
              <w:trPr>
                <w:trHeight w:val="300"/>
              </w:trPr>
              <w:tc>
                <w:tcPr>
                  <w:tcW w:w="8250" w:type="dxa"/>
                  <w:vAlign w:val="center"/>
                  <w:hideMark/>
                </w:tcPr>
                <w:p w14:paraId="30F87A73" w14:textId="77777777" w:rsidR="00765C2A" w:rsidRDefault="00765C2A">
                  <w:pPr>
                    <w:spacing w:line="300" w:lineRule="atLeast"/>
                  </w:pPr>
                  <w:r>
                    <w:rPr>
                      <w:rFonts w:ascii="Helvetica Neue" w:hAnsi="Helvetica Neue"/>
                      <w:noProof/>
                      <w:color w:val="000001"/>
                      <w:sz w:val="21"/>
                      <w:szCs w:val="21"/>
                      <w:bdr w:val="single" w:sz="8" w:space="0" w:color="auto" w:frame="1"/>
                    </w:rPr>
                    <w:drawing>
                      <wp:inline distT="0" distB="0" distL="0" distR="0" wp14:anchorId="2AEFD9E2" wp14:editId="4E868BAB">
                        <wp:extent cx="9525" cy="190500"/>
                        <wp:effectExtent l="0" t="0" r="9525" b="0"/>
                        <wp:docPr id="1" name="Picture 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moved by send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14:paraId="54184F93" w14:textId="77777777" w:rsidR="00765C2A" w:rsidRDefault="00765C2A">
            <w:pPr>
              <w:rPr>
                <w:rFonts w:eastAsia="Times New Roman"/>
                <w:sz w:val="20"/>
                <w:szCs w:val="20"/>
              </w:rPr>
            </w:pPr>
          </w:p>
        </w:tc>
      </w:tr>
    </w:tbl>
    <w:p w14:paraId="0F5FD6E3" w14:textId="77777777" w:rsidR="00202C64" w:rsidRDefault="00202C64">
      <w:bookmarkStart w:id="1" w:name="_GoBack"/>
      <w:bookmarkEnd w:id="1"/>
    </w:p>
    <w:sectPr w:rsidR="00202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2A"/>
    <w:rsid w:val="00202C64"/>
    <w:rsid w:val="0076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5C70"/>
  <w15:chartTrackingRefBased/>
  <w15:docId w15:val="{B0E131F8-83D2-4EA4-9B05-9CE58F41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2A"/>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765C2A"/>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765C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65C2A"/>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765C2A"/>
    <w:rPr>
      <w:rFonts w:ascii="Times New Roman" w:hAnsi="Times New Roman" w:cs="Times New Roman"/>
      <w:b/>
      <w:bCs/>
      <w:sz w:val="27"/>
      <w:szCs w:val="27"/>
      <w:lang w:eastAsia="en-GB"/>
    </w:rPr>
  </w:style>
  <w:style w:type="character" w:styleId="Hyperlink">
    <w:name w:val="Hyperlink"/>
    <w:basedOn w:val="DefaultParagraphFont"/>
    <w:uiPriority w:val="99"/>
    <w:semiHidden/>
    <w:unhideWhenUsed/>
    <w:rsid w:val="00765C2A"/>
    <w:rPr>
      <w:color w:val="0000FF"/>
      <w:u w:val="single"/>
    </w:rPr>
  </w:style>
  <w:style w:type="paragraph" w:styleId="NormalWeb">
    <w:name w:val="Normal (Web)"/>
    <w:basedOn w:val="Normal"/>
    <w:uiPriority w:val="99"/>
    <w:semiHidden/>
    <w:unhideWhenUsed/>
    <w:rsid w:val="00765C2A"/>
    <w:pPr>
      <w:spacing w:before="100" w:beforeAutospacing="1" w:after="100" w:afterAutospacing="1"/>
    </w:pPr>
  </w:style>
  <w:style w:type="character" w:styleId="Strong">
    <w:name w:val="Strong"/>
    <w:basedOn w:val="DefaultParagraphFont"/>
    <w:uiPriority w:val="22"/>
    <w:qFormat/>
    <w:rsid w:val="00765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FE87D.860515F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cid:image003.jpg@01CFE87D.860515F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mmail.dods.co.uk/wf/click?upn=PUcZOS6-2FNT4PrY23eS-2B6NzBfsdvqTeU5dcR-2F818NKWCllkvF6eYk1J3p-2Bio04cP5OR1VMyKQpjKAWUT2RWqJVZpwurIEXD8z7ngbVtI3VrHPk6bzdRHUSC6vsT2oEWG-2B_XU2HhMdYrXJl18MWM9Uanquo-2BzTce-2Btt9eh6OmBAKl8d-2FXwN7TklYyJvABRy3t4OHnC8tOXaA6ET5hViKoCHc-2BgOBg-2FQrEl2aMer7rt8mSKvTAYNpzU4WIeL3NsUd9uqoVwkOXCzStdGsAu-2FBZzVtlgaVcGmtxu0h48o-2BogMqdmZX5u2wcGllOYogZU5gYW8Iq6kIenlEqhhYLdS9xEW1D2dbsmyitLpUrUNudbXp-2Fs-3D" TargetMode="External"/><Relationship Id="rId4" Type="http://schemas.openxmlformats.org/officeDocument/2006/relationships/styles" Target="styles.xml"/><Relationship Id="rId9" Type="http://schemas.openxmlformats.org/officeDocument/2006/relationships/hyperlink" Target="http://mmail.dods.co.uk/wf/click?upn=NVLSxtkvQ-2FKNk5BVwFZSOBCHDyJtKkKL04COAHZMICIeCUwcWDjPu2SeJcTuAMxbqIGtfA2AVq5UGXovfsCvqw-3D-3D_XU2HhMdYrXJl18MWM9Uanquo-2BzTce-2Btt9eh6OmBAKl8d-2FXwN7TklYyJvABRy3t4ORwevLT8Yzh8gsTOB3yndSQ0wGVI9Fp0-2B9AcPtNfV4lx4Xpwx5IdeZRURK6f-2BoxCQnvZwMcAgpKnXD5bd7tLdJXwsw6hIwe3nweoj0gpfi769oUVq0e4T6iFF0sa-2FHmRwOFxYqsbYAaQQVDUUZFEu9FrX2HBqFSW-2F64nkupON6Uw-3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1C57F-FA4A-4380-92BF-2B4A4B0BC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9B6A59-452B-424F-9987-57FFD733DFA4}">
  <ds:schemaRefs>
    <ds:schemaRef ds:uri="http://schemas.microsoft.com/sharepoint/v3/contenttype/forms"/>
  </ds:schemaRefs>
</ds:datastoreItem>
</file>

<file path=customXml/itemProps3.xml><?xml version="1.0" encoding="utf-8"?>
<ds:datastoreItem xmlns:ds="http://schemas.openxmlformats.org/officeDocument/2006/customXml" ds:itemID="{1EA68889-E7BF-498C-A530-06E433ECD565}">
  <ds:schemaRef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4AE89BFD</Template>
  <TotalTime>1</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2014-10-15T12:51:00Z</dcterms:created>
  <dcterms:modified xsi:type="dcterms:W3CDTF">2014-10-15T12:52:00Z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