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6DD352" w14:textId="77777777" w:rsidR="006B60D6" w:rsidRDefault="00CD1D63">
      <w:pPr>
        <w:rPr>
          <w:u w:val="single"/>
        </w:rPr>
      </w:pPr>
      <w:bookmarkStart w:id="0" w:name="_GoBack"/>
      <w:bookmarkEnd w:id="0"/>
      <w:proofErr w:type="spellStart"/>
      <w:r w:rsidRPr="00CD1D63">
        <w:rPr>
          <w:u w:val="single"/>
        </w:rPr>
        <w:t>Dods</w:t>
      </w:r>
      <w:proofErr w:type="spellEnd"/>
      <w:r w:rsidRPr="00CD1D63">
        <w:rPr>
          <w:u w:val="single"/>
        </w:rPr>
        <w:t xml:space="preserve"> 23 June 2014</w:t>
      </w:r>
    </w:p>
    <w:p w14:paraId="4E50DC29" w14:textId="77777777" w:rsidR="00CD1D63" w:rsidRDefault="00CD1D63">
      <w:pPr>
        <w:rPr>
          <w:u w:val="single"/>
        </w:rPr>
      </w:pPr>
    </w:p>
    <w:tbl>
      <w:tblPr>
        <w:tblW w:w="8250" w:type="dxa"/>
        <w:tblCellMar>
          <w:left w:w="0" w:type="dxa"/>
          <w:right w:w="0" w:type="dxa"/>
        </w:tblCellMar>
        <w:tblLook w:val="04A0" w:firstRow="1" w:lastRow="0" w:firstColumn="1" w:lastColumn="0" w:noHBand="0" w:noVBand="1"/>
      </w:tblPr>
      <w:tblGrid>
        <w:gridCol w:w="8250"/>
      </w:tblGrid>
      <w:tr w:rsidR="00CD1D63" w14:paraId="132E7F04" w14:textId="77777777" w:rsidTr="00CD1D63">
        <w:tc>
          <w:tcPr>
            <w:tcW w:w="8250" w:type="dxa"/>
            <w:vAlign w:val="center"/>
            <w:hideMark/>
          </w:tcPr>
          <w:tbl>
            <w:tblPr>
              <w:tblW w:w="8250" w:type="dxa"/>
              <w:tblCellMar>
                <w:left w:w="0" w:type="dxa"/>
                <w:right w:w="0" w:type="dxa"/>
              </w:tblCellMar>
              <w:tblLook w:val="04A0" w:firstRow="1" w:lastRow="0" w:firstColumn="1" w:lastColumn="0" w:noHBand="0" w:noVBand="1"/>
            </w:tblPr>
            <w:tblGrid>
              <w:gridCol w:w="760"/>
              <w:gridCol w:w="167"/>
              <w:gridCol w:w="5925"/>
              <w:gridCol w:w="1398"/>
            </w:tblGrid>
            <w:tr w:rsidR="00CD1D63" w14:paraId="1FBB2E94" w14:textId="77777777">
              <w:tc>
                <w:tcPr>
                  <w:tcW w:w="720" w:type="dxa"/>
                  <w:hideMark/>
                </w:tcPr>
                <w:p w14:paraId="0F1AF5E7" w14:textId="77777777" w:rsidR="00CD1D63" w:rsidRDefault="00CD1D63">
                  <w:pPr>
                    <w:spacing w:line="270" w:lineRule="atLeast"/>
                    <w:jc w:val="right"/>
                    <w:rPr>
                      <w:rFonts w:ascii="Helvetica" w:hAnsi="Helvetica" w:cs="Helvetica"/>
                      <w:color w:val="00B5D4"/>
                      <w:sz w:val="21"/>
                      <w:szCs w:val="21"/>
                    </w:rPr>
                  </w:pPr>
                  <w:r>
                    <w:rPr>
                      <w:rFonts w:ascii="Helvetica" w:hAnsi="Helvetica" w:cs="Helvetica"/>
                      <w:noProof/>
                      <w:color w:val="00B5D4"/>
                      <w:sz w:val="21"/>
                      <w:szCs w:val="21"/>
                      <w:bdr w:val="single" w:sz="8" w:space="0" w:color="auto" w:frame="1"/>
                      <w:lang w:eastAsia="en-GB"/>
                    </w:rPr>
                    <w:drawing>
                      <wp:inline distT="0" distB="0" distL="0" distR="0" wp14:anchorId="618F3878" wp14:editId="4E763141">
                        <wp:extent cx="457200" cy="381000"/>
                        <wp:effectExtent l="0" t="0" r="0" b="0"/>
                        <wp:docPr id="1" name="Picture 1" descr="Image removed by sender.     House of Common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moved by sender.     House of Commons&#1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57200" cy="381000"/>
                                </a:xfrm>
                                <a:prstGeom prst="rect">
                                  <a:avLst/>
                                </a:prstGeom>
                                <a:noFill/>
                                <a:ln>
                                  <a:noFill/>
                                </a:ln>
                              </pic:spPr>
                            </pic:pic>
                          </a:graphicData>
                        </a:graphic>
                      </wp:inline>
                    </w:drawing>
                  </w:r>
                </w:p>
              </w:tc>
              <w:tc>
                <w:tcPr>
                  <w:tcW w:w="180" w:type="dxa"/>
                  <w:hideMark/>
                </w:tcPr>
                <w:p w14:paraId="18584CB4" w14:textId="77777777" w:rsidR="00CD1D63" w:rsidRDefault="00CD1D63">
                  <w:pPr>
                    <w:rPr>
                      <w:rFonts w:ascii="Helvetica" w:hAnsi="Helvetica" w:cs="Helvetica"/>
                      <w:color w:val="00B5D4"/>
                      <w:sz w:val="21"/>
                      <w:szCs w:val="21"/>
                    </w:rPr>
                  </w:pPr>
                </w:p>
              </w:tc>
              <w:tc>
                <w:tcPr>
                  <w:tcW w:w="5925" w:type="dxa"/>
                  <w:vAlign w:val="center"/>
                  <w:hideMark/>
                </w:tcPr>
                <w:tbl>
                  <w:tblPr>
                    <w:tblW w:w="5925" w:type="dxa"/>
                    <w:tblCellMar>
                      <w:left w:w="0" w:type="dxa"/>
                      <w:right w:w="0" w:type="dxa"/>
                    </w:tblCellMar>
                    <w:tblLook w:val="04A0" w:firstRow="1" w:lastRow="0" w:firstColumn="1" w:lastColumn="0" w:noHBand="0" w:noVBand="1"/>
                  </w:tblPr>
                  <w:tblGrid>
                    <w:gridCol w:w="5925"/>
                  </w:tblGrid>
                  <w:tr w:rsidR="00CD1D63" w14:paraId="5D755F7C" w14:textId="77777777">
                    <w:tc>
                      <w:tcPr>
                        <w:tcW w:w="5925" w:type="dxa"/>
                        <w:vAlign w:val="center"/>
                        <w:hideMark/>
                      </w:tcPr>
                      <w:bookmarkStart w:id="1" w:name="e4d9febbf63349eea4ffc8098f024702"/>
                      <w:bookmarkEnd w:id="1"/>
                      <w:p w14:paraId="0E834832" w14:textId="77777777" w:rsidR="00CD1D63" w:rsidRDefault="00CD1D63">
                        <w:pPr>
                          <w:spacing w:line="270" w:lineRule="atLeast"/>
                          <w:rPr>
                            <w:rFonts w:ascii="Helvetica" w:hAnsi="Helvetica" w:cs="Helvetica"/>
                            <w:b/>
                            <w:bCs/>
                            <w:color w:val="00B5D4"/>
                            <w:sz w:val="27"/>
                            <w:szCs w:val="27"/>
                          </w:rPr>
                        </w:pPr>
                        <w:r>
                          <w:fldChar w:fldCharType="begin"/>
                        </w:r>
                        <w:r>
                          <w:instrText xml:space="preserve"> HYPERLINK "http://mmail.dods.co.uk/wf/click?upn=PUcZOS6-2FNT4PrY23eS-2B6NzBfsdvqTeU5dcR-2F818NKWDvXQHxX1YFH2-2Fsh1lc32rXIVrdWgLdcMYDzPWeFLTsRm-2B4MovgTAwVYV32xekSLwDfpmHZJ6t6h5RO49W7BYLPs5w1ggDcX65BVOTK4i2fQA-3D-3D_XU2HhMdYrXJl18MWM9Uanquo-2BzTce-2Btt9eh6OmBAKl8IhBJeu-2BPxai49JnVZXEDPKy7XjxXgVVrXpDwo2gznsCoaZrHrZ4HL3DEb9u28Ldq6FiON7-2Fx3r0q5Z37Lo15XOy6kALNr1K4ocVCOiV1IkrRbZQMddP-2BOjmO1i4j99RCPudwdE2km9xGE34zAuCGGATXbCyd4OFCFShgd1ttNXA-3D-3D" </w:instrText>
                        </w:r>
                        <w:r>
                          <w:fldChar w:fldCharType="separate"/>
                        </w:r>
                        <w:r>
                          <w:rPr>
                            <w:rStyle w:val="Hyperlink"/>
                            <w:rFonts w:ascii="Helvetica" w:hAnsi="Helvetica" w:cs="Helvetica"/>
                            <w:b/>
                            <w:bCs/>
                            <w:color w:val="00B5D4"/>
                            <w:sz w:val="27"/>
                            <w:szCs w:val="27"/>
                          </w:rPr>
                          <w:t xml:space="preserve">Noise: Pollution Control </w:t>
                        </w:r>
                        <w:r>
                          <w:fldChar w:fldCharType="end"/>
                        </w:r>
                      </w:p>
                    </w:tc>
                  </w:tr>
                  <w:tr w:rsidR="00CD1D63" w14:paraId="08F6461D" w14:textId="77777777">
                    <w:tc>
                      <w:tcPr>
                        <w:tcW w:w="5925" w:type="dxa"/>
                        <w:vAlign w:val="center"/>
                        <w:hideMark/>
                      </w:tcPr>
                      <w:p w14:paraId="7ADCF029" w14:textId="77777777" w:rsidR="00CD1D63" w:rsidRDefault="00CD1D63">
                        <w:pPr>
                          <w:spacing w:line="360" w:lineRule="atLeast"/>
                          <w:rPr>
                            <w:rFonts w:ascii="Helvetica" w:hAnsi="Helvetica" w:cs="Helvetica"/>
                            <w:i/>
                            <w:iCs/>
                            <w:color w:val="000001"/>
                            <w:sz w:val="21"/>
                            <w:szCs w:val="21"/>
                          </w:rPr>
                        </w:pPr>
                        <w:r>
                          <w:rPr>
                            <w:rFonts w:ascii="Helvetica" w:hAnsi="Helvetica" w:cs="Helvetica"/>
                            <w:i/>
                            <w:iCs/>
                            <w:color w:val="000001"/>
                            <w:sz w:val="21"/>
                            <w:szCs w:val="21"/>
                          </w:rPr>
                          <w:t xml:space="preserve">House of Commons - Written Answers </w:t>
                        </w:r>
                      </w:p>
                    </w:tc>
                  </w:tr>
                </w:tbl>
                <w:p w14:paraId="6AEC8BB1" w14:textId="77777777" w:rsidR="00CD1D63" w:rsidRDefault="00CD1D63">
                  <w:pPr>
                    <w:rPr>
                      <w:rFonts w:ascii="Times New Roman" w:eastAsia="Times New Roman" w:hAnsi="Times New Roman" w:cs="Times New Roman"/>
                      <w:sz w:val="20"/>
                      <w:szCs w:val="20"/>
                    </w:rPr>
                  </w:pPr>
                </w:p>
              </w:tc>
              <w:tc>
                <w:tcPr>
                  <w:tcW w:w="1425" w:type="dxa"/>
                  <w:hideMark/>
                </w:tcPr>
                <w:p w14:paraId="0FB7F83E" w14:textId="77777777" w:rsidR="00CD1D63" w:rsidRDefault="00942124">
                  <w:pPr>
                    <w:spacing w:line="270" w:lineRule="atLeast"/>
                    <w:jc w:val="right"/>
                    <w:rPr>
                      <w:rFonts w:ascii="Helvetica" w:hAnsi="Helvetica" w:cs="Helvetica"/>
                      <w:color w:val="00B5D4"/>
                      <w:sz w:val="21"/>
                      <w:szCs w:val="21"/>
                    </w:rPr>
                  </w:pPr>
                  <w:hyperlink r:id="rId9" w:history="1">
                    <w:r w:rsidR="00CD1D63">
                      <w:rPr>
                        <w:rStyle w:val="Hyperlink"/>
                        <w:rFonts w:ascii="Helvetica" w:hAnsi="Helvetica" w:cs="Helvetica"/>
                        <w:color w:val="00B5D4"/>
                        <w:sz w:val="21"/>
                        <w:szCs w:val="21"/>
                      </w:rPr>
                      <w:t>23/06/2014</w:t>
                    </w:r>
                  </w:hyperlink>
                  <w:r w:rsidR="00CD1D63">
                    <w:rPr>
                      <w:rFonts w:ascii="Helvetica" w:hAnsi="Helvetica" w:cs="Helvetica"/>
                      <w:color w:val="00B5D4"/>
                      <w:sz w:val="21"/>
                      <w:szCs w:val="21"/>
                    </w:rPr>
                    <w:t xml:space="preserve"> </w:t>
                  </w:r>
                </w:p>
              </w:tc>
            </w:tr>
          </w:tbl>
          <w:p w14:paraId="6AF6A540" w14:textId="77777777" w:rsidR="00CD1D63" w:rsidRDefault="00CD1D63">
            <w:pPr>
              <w:rPr>
                <w:rFonts w:ascii="Times New Roman" w:eastAsia="Times New Roman" w:hAnsi="Times New Roman" w:cs="Times New Roman"/>
                <w:sz w:val="20"/>
                <w:szCs w:val="20"/>
              </w:rPr>
            </w:pPr>
          </w:p>
        </w:tc>
      </w:tr>
      <w:tr w:rsidR="00CD1D63" w14:paraId="0C02159A" w14:textId="77777777" w:rsidTr="00CD1D63">
        <w:trPr>
          <w:trHeight w:val="150"/>
        </w:trPr>
        <w:tc>
          <w:tcPr>
            <w:tcW w:w="8250" w:type="dxa"/>
            <w:vAlign w:val="center"/>
            <w:hideMark/>
          </w:tcPr>
          <w:p w14:paraId="79CB6C2E" w14:textId="77777777" w:rsidR="00CD1D63" w:rsidRDefault="00CD1D63">
            <w:pPr>
              <w:rPr>
                <w:rFonts w:eastAsia="Times New Roman"/>
                <w:sz w:val="20"/>
                <w:szCs w:val="20"/>
              </w:rPr>
            </w:pPr>
          </w:p>
        </w:tc>
      </w:tr>
      <w:tr w:rsidR="00CD1D63" w14:paraId="6ADAB11C" w14:textId="77777777" w:rsidTr="00CD1D63">
        <w:trPr>
          <w:trHeight w:val="15"/>
        </w:trPr>
        <w:tc>
          <w:tcPr>
            <w:tcW w:w="8250" w:type="dxa"/>
            <w:shd w:val="clear" w:color="auto" w:fill="F5F5F5"/>
            <w:vAlign w:val="center"/>
            <w:hideMark/>
          </w:tcPr>
          <w:p w14:paraId="47037635" w14:textId="77777777" w:rsidR="00CD1D63" w:rsidRDefault="00CD1D63">
            <w:pPr>
              <w:rPr>
                <w:rFonts w:eastAsia="Times New Roman"/>
                <w:sz w:val="20"/>
                <w:szCs w:val="20"/>
              </w:rPr>
            </w:pPr>
          </w:p>
        </w:tc>
      </w:tr>
      <w:tr w:rsidR="00CD1D63" w14:paraId="62B04B17" w14:textId="77777777" w:rsidTr="00CD1D63">
        <w:trPr>
          <w:trHeight w:val="150"/>
        </w:trPr>
        <w:tc>
          <w:tcPr>
            <w:tcW w:w="8250" w:type="dxa"/>
            <w:vAlign w:val="center"/>
            <w:hideMark/>
          </w:tcPr>
          <w:p w14:paraId="62C9618D" w14:textId="77777777" w:rsidR="00CD1D63" w:rsidRDefault="00CD1D63">
            <w:pPr>
              <w:rPr>
                <w:rFonts w:eastAsia="Times New Roman"/>
                <w:sz w:val="20"/>
                <w:szCs w:val="20"/>
              </w:rPr>
            </w:pPr>
          </w:p>
        </w:tc>
      </w:tr>
      <w:tr w:rsidR="00CD1D63" w14:paraId="56F70FFC" w14:textId="77777777" w:rsidTr="00CD1D63">
        <w:tc>
          <w:tcPr>
            <w:tcW w:w="5000" w:type="pct"/>
            <w:vAlign w:val="center"/>
            <w:hideMark/>
          </w:tcPr>
          <w:p w14:paraId="203DAEA3" w14:textId="77777777" w:rsidR="00CD1D63" w:rsidRDefault="00CD1D63">
            <w:pPr>
              <w:pStyle w:val="Heading2"/>
              <w:spacing w:line="300" w:lineRule="atLeast"/>
              <w:rPr>
                <w:rFonts w:ascii="Helvetica" w:eastAsia="Times New Roman" w:hAnsi="Helvetica" w:cs="Helvetica"/>
                <w:color w:val="000001"/>
                <w:sz w:val="24"/>
                <w:szCs w:val="24"/>
              </w:rPr>
            </w:pPr>
            <w:r>
              <w:rPr>
                <w:rFonts w:ascii="Helvetica" w:eastAsia="Times New Roman" w:hAnsi="Helvetica" w:cs="Helvetica"/>
                <w:color w:val="000001"/>
                <w:sz w:val="24"/>
                <w:szCs w:val="24"/>
              </w:rPr>
              <w:t>Answered on: Monday 23 June 2014</w:t>
            </w:r>
          </w:p>
          <w:p w14:paraId="796171A9" w14:textId="77777777" w:rsidR="00CD1D63" w:rsidRDefault="00CD1D63">
            <w:pPr>
              <w:pStyle w:val="Heading3"/>
              <w:spacing w:line="270" w:lineRule="atLeast"/>
              <w:rPr>
                <w:rFonts w:ascii="Helvetica" w:eastAsia="Times New Roman" w:hAnsi="Helvetica" w:cs="Helvetica"/>
                <w:color w:val="000001"/>
                <w:sz w:val="21"/>
                <w:szCs w:val="21"/>
              </w:rPr>
            </w:pPr>
            <w:r>
              <w:rPr>
                <w:rFonts w:ascii="Helvetica" w:eastAsia="Times New Roman" w:hAnsi="Helvetica" w:cs="Helvetica"/>
                <w:color w:val="000001"/>
                <w:sz w:val="21"/>
                <w:szCs w:val="21"/>
              </w:rPr>
              <w:t>Communities and Local Government</w:t>
            </w:r>
          </w:p>
          <w:p w14:paraId="2A52676B" w14:textId="77777777" w:rsidR="00CD1D63" w:rsidRDefault="00CD1D63">
            <w:pPr>
              <w:pStyle w:val="Heading2"/>
              <w:spacing w:line="300" w:lineRule="atLeast"/>
              <w:rPr>
                <w:rFonts w:ascii="Helvetica" w:eastAsia="Times New Roman" w:hAnsi="Helvetica" w:cs="Helvetica"/>
                <w:color w:val="000001"/>
                <w:sz w:val="24"/>
                <w:szCs w:val="24"/>
              </w:rPr>
            </w:pPr>
            <w:r>
              <w:rPr>
                <w:rFonts w:ascii="Helvetica" w:eastAsia="Times New Roman" w:hAnsi="Helvetica" w:cs="Helvetica"/>
                <w:color w:val="000001"/>
                <w:sz w:val="24"/>
                <w:szCs w:val="24"/>
              </w:rPr>
              <w:t>Noise: Pollution Control</w:t>
            </w:r>
          </w:p>
          <w:p w14:paraId="365633A3" w14:textId="77777777" w:rsidR="00CD1D63" w:rsidRDefault="00CD1D63">
            <w:pPr>
              <w:pStyle w:val="NormalWeb"/>
              <w:spacing w:line="270" w:lineRule="atLeast"/>
              <w:rPr>
                <w:rFonts w:ascii="Helvetica" w:hAnsi="Helvetica" w:cs="Helvetica"/>
                <w:color w:val="000001"/>
                <w:sz w:val="21"/>
                <w:szCs w:val="21"/>
              </w:rPr>
            </w:pPr>
            <w:r>
              <w:rPr>
                <w:rStyle w:val="Strong"/>
                <w:rFonts w:ascii="Helvetica" w:hAnsi="Helvetica" w:cs="Helvetica"/>
                <w:color w:val="000001"/>
                <w:sz w:val="21"/>
                <w:szCs w:val="21"/>
              </w:rPr>
              <w:t>Kerry McCarthy</w:t>
            </w:r>
            <w:r>
              <w:rPr>
                <w:rFonts w:ascii="Helvetica" w:hAnsi="Helvetica" w:cs="Helvetica"/>
                <w:color w:val="000001"/>
                <w:sz w:val="21"/>
                <w:szCs w:val="21"/>
              </w:rPr>
              <w:t>: To ask the Secretary of State for Communities and Local Government what guidance his Department provides to music venues facing potential closure from noise abatement notices as a result of change of use of neighbouring buildings under permitted development rights. [200374]</w:t>
            </w:r>
          </w:p>
          <w:p w14:paraId="2407BDCC" w14:textId="77777777" w:rsidR="00CD1D63" w:rsidRDefault="00CD1D63">
            <w:pPr>
              <w:pStyle w:val="NormalWeb"/>
              <w:spacing w:line="270" w:lineRule="atLeast"/>
              <w:rPr>
                <w:rFonts w:ascii="Helvetica" w:hAnsi="Helvetica" w:cs="Helvetica"/>
                <w:color w:val="000001"/>
                <w:sz w:val="21"/>
                <w:szCs w:val="21"/>
              </w:rPr>
            </w:pPr>
            <w:r>
              <w:rPr>
                <w:rStyle w:val="Strong"/>
                <w:rFonts w:ascii="Helvetica" w:hAnsi="Helvetica" w:cs="Helvetica"/>
                <w:color w:val="000001"/>
                <w:sz w:val="21"/>
                <w:szCs w:val="21"/>
              </w:rPr>
              <w:t>Nick Boles</w:t>
            </w:r>
            <w:r>
              <w:rPr>
                <w:rFonts w:ascii="Helvetica" w:hAnsi="Helvetica" w:cs="Helvetica"/>
                <w:color w:val="000001"/>
                <w:sz w:val="21"/>
                <w:szCs w:val="21"/>
              </w:rPr>
              <w:t xml:space="preserve">: </w:t>
            </w:r>
            <w:r>
              <w:rPr>
                <w:rStyle w:val="Emphasis"/>
                <w:rFonts w:ascii="Helvetica" w:hAnsi="Helvetica" w:cs="Helvetica"/>
                <w:color w:val="000001"/>
                <w:sz w:val="21"/>
                <w:szCs w:val="21"/>
              </w:rPr>
              <w:t>[h</w:t>
            </w:r>
            <w:r>
              <w:rPr>
                <w:rFonts w:ascii="Helvetica" w:hAnsi="Helvetica" w:cs="Helvetica"/>
                <w:color w:val="000001"/>
                <w:sz w:val="21"/>
                <w:szCs w:val="21"/>
              </w:rPr>
              <w:t xml:space="preserve"> </w:t>
            </w:r>
            <w:proofErr w:type="spellStart"/>
            <w:r>
              <w:rPr>
                <w:rStyle w:val="Emphasis"/>
                <w:rFonts w:ascii="Helvetica" w:hAnsi="Helvetica" w:cs="Helvetica"/>
                <w:color w:val="000001"/>
                <w:sz w:val="21"/>
                <w:szCs w:val="21"/>
              </w:rPr>
              <w:t>olding</w:t>
            </w:r>
            <w:proofErr w:type="spellEnd"/>
            <w:r>
              <w:rPr>
                <w:rFonts w:ascii="Helvetica" w:hAnsi="Helvetica" w:cs="Helvetica"/>
                <w:color w:val="000001"/>
                <w:sz w:val="21"/>
                <w:szCs w:val="21"/>
              </w:rPr>
              <w:t xml:space="preserve"> </w:t>
            </w:r>
            <w:r>
              <w:rPr>
                <w:rStyle w:val="Emphasis"/>
                <w:rFonts w:ascii="Helvetica" w:hAnsi="Helvetica" w:cs="Helvetica"/>
                <w:color w:val="000001"/>
                <w:sz w:val="21"/>
                <w:szCs w:val="21"/>
              </w:rPr>
              <w:t>answer</w:t>
            </w:r>
            <w:r>
              <w:rPr>
                <w:rFonts w:ascii="Helvetica" w:hAnsi="Helvetica" w:cs="Helvetica"/>
                <w:color w:val="000001"/>
                <w:sz w:val="21"/>
                <w:szCs w:val="21"/>
              </w:rPr>
              <w:t xml:space="preserve"> </w:t>
            </w:r>
            <w:r>
              <w:rPr>
                <w:rStyle w:val="Emphasis"/>
                <w:rFonts w:ascii="Helvetica" w:hAnsi="Helvetica" w:cs="Helvetica"/>
                <w:color w:val="000001"/>
                <w:sz w:val="21"/>
                <w:szCs w:val="21"/>
              </w:rPr>
              <w:t>17 June 2014</w:t>
            </w:r>
            <w:proofErr w:type="gramStart"/>
            <w:r>
              <w:rPr>
                <w:rStyle w:val="Emphasis"/>
                <w:rFonts w:ascii="Helvetica" w:hAnsi="Helvetica" w:cs="Helvetica"/>
                <w:color w:val="000001"/>
                <w:sz w:val="21"/>
                <w:szCs w:val="21"/>
              </w:rPr>
              <w:t>]</w:t>
            </w:r>
            <w:r>
              <w:rPr>
                <w:rFonts w:ascii="Helvetica" w:hAnsi="Helvetica" w:cs="Helvetica"/>
                <w:color w:val="000001"/>
                <w:sz w:val="21"/>
                <w:szCs w:val="21"/>
              </w:rPr>
              <w:t xml:space="preserve"> </w:t>
            </w:r>
            <w:r>
              <w:rPr>
                <w:rStyle w:val="Emphasis"/>
                <w:rFonts w:ascii="Helvetica" w:hAnsi="Helvetica" w:cs="Helvetica"/>
                <w:color w:val="000001"/>
                <w:sz w:val="21"/>
                <w:szCs w:val="21"/>
              </w:rPr>
              <w:t>:</w:t>
            </w:r>
            <w:proofErr w:type="gramEnd"/>
            <w:r>
              <w:rPr>
                <w:rFonts w:ascii="Helvetica" w:hAnsi="Helvetica" w:cs="Helvetica"/>
                <w:color w:val="000001"/>
                <w:sz w:val="21"/>
                <w:szCs w:val="21"/>
              </w:rPr>
              <w:t xml:space="preserve"> Under nuisance law, it is for a local authority to decide on a case by case basis whether or not a noise constitutes a statutory nuisance. The ‘character of the locality’ is one of a number of relevant facts that would be taken into account, and well-established music venues would certainly be a consideration in assessing the reasonableness of the activity being carried out. </w:t>
            </w:r>
          </w:p>
          <w:p w14:paraId="5808FCD2" w14:textId="77777777" w:rsidR="00CD1D63" w:rsidRDefault="00CD1D63">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The National Planning Policy Framework states that existing businesses wanting to develop in continuance of their business should not have unreasonable restrictions put on them because of changes in nearby land uses since they were established. This policy is clearly material when considering planning enforcement cases in relation to new land use changes nearby. Our new suite of planning guidance directly addresses the issue of noise, including advice on noise mitigation measures. This can be found online at:</w:t>
            </w:r>
          </w:p>
          <w:p w14:paraId="6BD7E997" w14:textId="77777777" w:rsidR="00CD1D63" w:rsidRDefault="00942124">
            <w:pPr>
              <w:pStyle w:val="NormalWeb"/>
              <w:spacing w:line="270" w:lineRule="atLeast"/>
              <w:rPr>
                <w:rFonts w:ascii="Helvetica" w:hAnsi="Helvetica" w:cs="Helvetica"/>
                <w:color w:val="000001"/>
                <w:sz w:val="21"/>
                <w:szCs w:val="21"/>
              </w:rPr>
            </w:pPr>
            <w:hyperlink r:id="rId10" w:history="1">
              <w:r w:rsidR="00CD1D63">
                <w:rPr>
                  <w:rStyle w:val="Hyperlink"/>
                  <w:rFonts w:ascii="Helvetica" w:hAnsi="Helvetica" w:cs="Helvetica"/>
                  <w:sz w:val="21"/>
                  <w:szCs w:val="21"/>
                </w:rPr>
                <w:t>http://planningguidance.planningportal.gov.uk/blog/guidance/noise/noise-guidance/</w:t>
              </w:r>
            </w:hyperlink>
          </w:p>
          <w:p w14:paraId="552935DF" w14:textId="77777777" w:rsidR="00CD1D63" w:rsidRDefault="00CD1D63">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The licensing process also provides an adjudication mechanism between local residents and licensed premises by which practical measures can be introduced to control and mitigate noise. Statutory guidance recommends practical conditions such as closing doors and windows, the installation of acoustic curtains or rubber speaker mounts. While recognising the need to tackle public nuisance, the guidance also advises that licensing authorities should be aware of the need to avoid inappropriate or disproportionate measures that could deter events that are valuable to the community, such as live music.</w:t>
            </w:r>
          </w:p>
          <w:p w14:paraId="29049B22" w14:textId="77777777" w:rsidR="00CD1D63" w:rsidRDefault="00CD1D63">
            <w:pPr>
              <w:pStyle w:val="NormalWeb"/>
              <w:spacing w:line="270" w:lineRule="atLeast"/>
              <w:rPr>
                <w:rFonts w:ascii="Helvetica" w:hAnsi="Helvetica" w:cs="Helvetica"/>
                <w:color w:val="000001"/>
                <w:sz w:val="21"/>
                <w:szCs w:val="21"/>
              </w:rPr>
            </w:pPr>
            <w:r>
              <w:rPr>
                <w:rStyle w:val="Strong"/>
                <w:rFonts w:ascii="Helvetica" w:hAnsi="Helvetica" w:cs="Helvetica"/>
                <w:color w:val="000001"/>
                <w:sz w:val="21"/>
                <w:szCs w:val="21"/>
              </w:rPr>
              <w:t>23 Jun 2014 : Column 111W</w:t>
            </w:r>
            <w:r>
              <w:rPr>
                <w:rFonts w:ascii="Helvetica" w:hAnsi="Helvetica" w:cs="Helvetica"/>
                <w:color w:val="000001"/>
                <w:sz w:val="21"/>
                <w:szCs w:val="21"/>
              </w:rPr>
              <w:t xml:space="preserve"> </w:t>
            </w:r>
          </w:p>
          <w:p w14:paraId="30C02924" w14:textId="77777777" w:rsidR="00CD1D63" w:rsidRDefault="00CD1D63">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lastRenderedPageBreak/>
              <w:t>More broadly, it is also in the commercial interests of any developer wishing to sell and market new residential accommodation near an existing music venue or licensed premises, or indeed in any urban environment, to take into account nearby noise, and seek to address that via good internal design and appropriate mitigation mechanisms (such as double glazing).</w:t>
            </w:r>
          </w:p>
        </w:tc>
      </w:tr>
    </w:tbl>
    <w:p w14:paraId="5F2D2271" w14:textId="77777777" w:rsidR="00CD1D63" w:rsidRPr="00CD1D63" w:rsidRDefault="00CD1D63"/>
    <w:sectPr w:rsidR="00CD1D63" w:rsidRPr="00CD1D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D63"/>
    <w:rsid w:val="006B60D6"/>
    <w:rsid w:val="00942124"/>
    <w:rsid w:val="00CD1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971F0"/>
  <w15:chartTrackingRefBased/>
  <w15:docId w15:val="{0C240E9E-EF4E-4A54-A494-D9BA70E8E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semiHidden/>
    <w:unhideWhenUsed/>
    <w:qFormat/>
    <w:rsid w:val="00CD1D63"/>
    <w:pPr>
      <w:spacing w:before="100" w:beforeAutospacing="1" w:after="100" w:afterAutospacing="1" w:line="240" w:lineRule="auto"/>
      <w:outlineLvl w:val="1"/>
    </w:pPr>
    <w:rPr>
      <w:rFonts w:ascii="Times New Roman" w:hAnsi="Times New Roman" w:cs="Times New Roman"/>
      <w:b/>
      <w:bCs/>
      <w:sz w:val="36"/>
      <w:szCs w:val="36"/>
      <w:lang w:eastAsia="en-GB"/>
    </w:rPr>
  </w:style>
  <w:style w:type="paragraph" w:styleId="Heading3">
    <w:name w:val="heading 3"/>
    <w:basedOn w:val="Normal"/>
    <w:link w:val="Heading3Char"/>
    <w:uiPriority w:val="9"/>
    <w:semiHidden/>
    <w:unhideWhenUsed/>
    <w:qFormat/>
    <w:rsid w:val="00CD1D63"/>
    <w:pPr>
      <w:spacing w:before="100" w:beforeAutospacing="1" w:after="100" w:afterAutospacing="1" w:line="240" w:lineRule="auto"/>
      <w:outlineLvl w:val="2"/>
    </w:pPr>
    <w:rPr>
      <w:rFonts w:ascii="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D1D63"/>
    <w:rPr>
      <w:rFonts w:ascii="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CD1D63"/>
    <w:rPr>
      <w:rFonts w:ascii="Times New Roman" w:hAnsi="Times New Roman" w:cs="Times New Roman"/>
      <w:b/>
      <w:bCs/>
      <w:sz w:val="27"/>
      <w:szCs w:val="27"/>
      <w:lang w:eastAsia="en-GB"/>
    </w:rPr>
  </w:style>
  <w:style w:type="character" w:styleId="Hyperlink">
    <w:name w:val="Hyperlink"/>
    <w:basedOn w:val="DefaultParagraphFont"/>
    <w:uiPriority w:val="99"/>
    <w:semiHidden/>
    <w:unhideWhenUsed/>
    <w:rsid w:val="00CD1D63"/>
    <w:rPr>
      <w:color w:val="0000FF"/>
      <w:u w:val="single"/>
    </w:rPr>
  </w:style>
  <w:style w:type="paragraph" w:styleId="NormalWeb">
    <w:name w:val="Normal (Web)"/>
    <w:basedOn w:val="Normal"/>
    <w:uiPriority w:val="99"/>
    <w:semiHidden/>
    <w:unhideWhenUsed/>
    <w:rsid w:val="00CD1D63"/>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CD1D63"/>
    <w:rPr>
      <w:b/>
      <w:bCs/>
    </w:rPr>
  </w:style>
  <w:style w:type="character" w:styleId="Emphasis">
    <w:name w:val="Emphasis"/>
    <w:basedOn w:val="DefaultParagraphFont"/>
    <w:uiPriority w:val="20"/>
    <w:qFormat/>
    <w:rsid w:val="00CD1D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957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CF8F82.99B83360"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planningguidance.planningportal.gov.uk/blog/guidance/noise/noise-guidance/" TargetMode="External"/><Relationship Id="rId4" Type="http://schemas.openxmlformats.org/officeDocument/2006/relationships/styles" Target="styles.xml"/><Relationship Id="rId9" Type="http://schemas.openxmlformats.org/officeDocument/2006/relationships/hyperlink" Target="http://mmail.dods.co.uk/wf/click?upn=NVLSxtkvQ-2FKNk5BVwFZSOBCHDyJtKkKL04COAHZMICIeCUwcWDjPu2SeJcTuAMxbqIGtfA2AVq5UGXovfsCvqw-3D-3D_XU2HhMdYrXJl18MWM9Uanquo-2BzTce-2Btt9eh6OmBAKl8IhBJeu-2BPxai49JnVZXEDPi5Z1Fu4ajTziINZ3jzhZov-2BP5O6QPxeIRw8JUVTGprNtq5svPZCHn041jjiSkWXub8WXmLzyN6Ms3-2BYtvRFOeZC1hzWqfxsItsy7Pnhox4obYJSUvfds9cKWemEbLiGP6CoFz5-2Fy-2FDwaa3P9Deu8hQ-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01594C3CAF97418643921FD54D99F8" ma:contentTypeVersion="0" ma:contentTypeDescription="Create a new document." ma:contentTypeScope="" ma:versionID="d4d5ce730d548657b8a99c622854f61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C71AA8-1EFB-4F92-85DA-6BED8040C5AC}">
  <ds:schemaRefs>
    <ds:schemaRef ds:uri="http://schemas.microsoft.com/sharepoint/v3/contenttype/forms"/>
  </ds:schemaRefs>
</ds:datastoreItem>
</file>

<file path=customXml/itemProps2.xml><?xml version="1.0" encoding="utf-8"?>
<ds:datastoreItem xmlns:ds="http://schemas.openxmlformats.org/officeDocument/2006/customXml" ds:itemID="{9EF1B915-41AB-4455-A8F3-9729C3F40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ECDE00F-5332-4F04-82B9-2982C60C4042}">
  <ds:schemaRefs>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http://purl.org/dc/elements/1.1/"/>
    <ds:schemaRef ds:uri="http://schemas.microsoft.com/office/2006/documentManagement/types"/>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41DD0CDA</Template>
  <TotalTime>0</TotalTime>
  <Pages>2</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Cerulean Solutions Limited</Company>
  <LinksUpToDate>false</LinksUpToDate>
  <CharactersWithSpaces>3431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 Sankey</dc:creator>
  <cp:keywords/>
  <dc:description/>
  <cp:lastModifiedBy>Chantel Sankey</cp:lastModifiedBy>
  <cp:revision>2</cp:revision>
  <dcterms:created xsi:type="dcterms:W3CDTF">2014-07-18T08:47:00Z</dcterms:created>
  <dcterms:modified xsi:type="dcterms:W3CDTF">2014-07-18T08:47:00Z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0x010100AE01594C3CAF97418643921FD54D99F8</vt:lpwstr>
  </property>
</Properties>
</file>